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4D70C227" w14:textId="330EE630" w:rsidR="00840935" w:rsidRPr="00983F41" w:rsidRDefault="00983F41" w:rsidP="00983F41">
      <w:pPr>
        <w:pStyle w:val="NoSpacing"/>
        <w:jc w:val="both"/>
        <w:rPr>
          <w:rFonts w:cstheme="minorHAnsi"/>
        </w:rPr>
      </w:pPr>
      <w:r w:rsidRPr="00983F41">
        <w:rPr>
          <w:rFonts w:cstheme="minorHAnsi"/>
        </w:rPr>
        <w:t>Meetings shall be presided by the chair or designated substitute, shall proceed only when quorum is declared, and shall be guided by the approved agenda. The presence of a conflict of interest among the members shall be disclosed prior to the discussion of protocols for review.</w:t>
      </w:r>
    </w:p>
    <w:p w14:paraId="2FD19CE2" w14:textId="77777777" w:rsidR="00983F41" w:rsidRPr="00983F41" w:rsidRDefault="00983F41" w:rsidP="00F85AE6">
      <w:pPr>
        <w:pStyle w:val="NoSpacing"/>
        <w:jc w:val="center"/>
        <w:rPr>
          <w:rFonts w:cstheme="minorHAnsi"/>
          <w:b/>
        </w:rPr>
      </w:pPr>
    </w:p>
    <w:p w14:paraId="6D3886B6" w14:textId="3610039B" w:rsidR="00F85AE6" w:rsidRPr="00983F41" w:rsidRDefault="00F85AE6" w:rsidP="00F85AE6">
      <w:pPr>
        <w:pStyle w:val="NoSpacing"/>
        <w:jc w:val="center"/>
        <w:rPr>
          <w:rFonts w:cstheme="minorHAnsi"/>
          <w:b/>
        </w:rPr>
      </w:pPr>
      <w:r w:rsidRPr="00983F41">
        <w:rPr>
          <w:rFonts w:cstheme="minorHAnsi"/>
          <w:b/>
        </w:rPr>
        <w:t>Objectives of the SOP</w:t>
      </w:r>
    </w:p>
    <w:p w14:paraId="2C94D826" w14:textId="77777777" w:rsidR="00F85AE6" w:rsidRPr="00983F41" w:rsidRDefault="00F85AE6" w:rsidP="00F85AE6">
      <w:pPr>
        <w:pStyle w:val="NoSpacing"/>
        <w:rPr>
          <w:rFonts w:cstheme="minorHAnsi"/>
        </w:rPr>
      </w:pPr>
    </w:p>
    <w:p w14:paraId="4C4F272D" w14:textId="27609EF0" w:rsidR="00840935" w:rsidRPr="00983F41" w:rsidRDefault="00983F41" w:rsidP="00983F41">
      <w:pPr>
        <w:pStyle w:val="NoSpacing"/>
        <w:jc w:val="both"/>
        <w:rPr>
          <w:rFonts w:cstheme="minorHAnsi"/>
        </w:rPr>
      </w:pPr>
      <w:r w:rsidRPr="00983F41">
        <w:rPr>
          <w:rFonts w:cstheme="minorHAnsi"/>
        </w:rPr>
        <w:t>Meetings are conducted to provide an opportunity for the REC to arrive at collegial decisions regarding study protocols and REC operations and to be informed of pertinent administrative matters.</w:t>
      </w:r>
    </w:p>
    <w:p w14:paraId="40BE24F8" w14:textId="77777777" w:rsidR="00983F41" w:rsidRPr="00983F41" w:rsidRDefault="00983F41" w:rsidP="004A17E5">
      <w:pPr>
        <w:pStyle w:val="NoSpacing"/>
        <w:jc w:val="center"/>
        <w:rPr>
          <w:rFonts w:cstheme="minorHAnsi"/>
          <w:b/>
        </w:rPr>
      </w:pPr>
    </w:p>
    <w:p w14:paraId="3AEE443D" w14:textId="5BEA3848" w:rsidR="00F85AE6" w:rsidRPr="00983F41" w:rsidRDefault="00F85AE6" w:rsidP="004A17E5">
      <w:pPr>
        <w:pStyle w:val="NoSpacing"/>
        <w:jc w:val="center"/>
        <w:rPr>
          <w:rFonts w:cstheme="minorHAnsi"/>
          <w:b/>
        </w:rPr>
      </w:pPr>
      <w:r w:rsidRPr="00983F41">
        <w:rPr>
          <w:rFonts w:cstheme="minorHAnsi"/>
          <w:b/>
        </w:rPr>
        <w:t>Scope/Applicability</w:t>
      </w:r>
    </w:p>
    <w:p w14:paraId="1DB2DFED" w14:textId="77777777" w:rsidR="00A94389" w:rsidRPr="00983F41" w:rsidRDefault="00A94389" w:rsidP="004A17E5">
      <w:pPr>
        <w:pStyle w:val="NoSpacing"/>
        <w:rPr>
          <w:rFonts w:cstheme="minorHAnsi"/>
        </w:rPr>
      </w:pPr>
    </w:p>
    <w:p w14:paraId="06F891E0" w14:textId="491F8ED0" w:rsidR="009B22CE" w:rsidRPr="00983F41" w:rsidRDefault="00983F41" w:rsidP="00983F41">
      <w:pPr>
        <w:pStyle w:val="NoSpacing"/>
        <w:jc w:val="both"/>
        <w:rPr>
          <w:rFonts w:cstheme="minorHAnsi"/>
          <w:b/>
        </w:rPr>
      </w:pPr>
      <w:r w:rsidRPr="00983F41">
        <w:rPr>
          <w:rFonts w:cstheme="minorHAnsi"/>
        </w:rPr>
        <w:t xml:space="preserve">This SOP describes </w:t>
      </w:r>
      <w:proofErr w:type="gramStart"/>
      <w:r w:rsidRPr="00983F41">
        <w:rPr>
          <w:rFonts w:cstheme="minorHAnsi"/>
        </w:rPr>
        <w:t>the manner by which</w:t>
      </w:r>
      <w:proofErr w:type="gramEnd"/>
      <w:r w:rsidRPr="00983F41">
        <w:rPr>
          <w:rFonts w:cstheme="minorHAnsi"/>
        </w:rPr>
        <w:t xml:space="preserve"> the REC conducts all its meetings. It covers REC actions and activities from the time the meeting is called to order and quorum is declared to the time the meeting is adjourned. This SOP begins with the distribution of meeting materials and ends with the collection, storage, and disposal of meeting materials.</w:t>
      </w:r>
    </w:p>
    <w:p w14:paraId="140566CD" w14:textId="77777777" w:rsidR="00983F41" w:rsidRDefault="00983F41"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tbl>
      <w:tblPr>
        <w:tblStyle w:val="TableGrid"/>
        <w:tblpPr w:leftFromText="180" w:rightFromText="180" w:vertAnchor="text" w:horzAnchor="margin" w:tblpY="356"/>
        <w:tblW w:w="9350" w:type="dxa"/>
        <w:tblLook w:val="04A0" w:firstRow="1" w:lastRow="0" w:firstColumn="1" w:lastColumn="0" w:noHBand="0" w:noVBand="1"/>
      </w:tblPr>
      <w:tblGrid>
        <w:gridCol w:w="4775"/>
        <w:gridCol w:w="2349"/>
        <w:gridCol w:w="2226"/>
      </w:tblGrid>
      <w:tr w:rsidR="009166E7" w:rsidRPr="00983F41" w14:paraId="24DD4FB4" w14:textId="77777777" w:rsidTr="009166E7">
        <w:trPr>
          <w:trHeight w:val="388"/>
        </w:trPr>
        <w:tc>
          <w:tcPr>
            <w:tcW w:w="4775" w:type="dxa"/>
            <w:vAlign w:val="center"/>
          </w:tcPr>
          <w:p w14:paraId="1D566875"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bCs/>
                <w:sz w:val="22"/>
                <w:szCs w:val="22"/>
              </w:rPr>
            </w:pPr>
            <w:r w:rsidRPr="00983F41">
              <w:rPr>
                <w:rFonts w:asciiTheme="minorHAnsi" w:hAnsiTheme="minorHAnsi" w:cstheme="minorHAnsi"/>
                <w:b/>
                <w:bCs/>
                <w:sz w:val="22"/>
                <w:szCs w:val="22"/>
              </w:rPr>
              <w:t>ACTIVITY</w:t>
            </w:r>
          </w:p>
        </w:tc>
        <w:tc>
          <w:tcPr>
            <w:tcW w:w="2349" w:type="dxa"/>
            <w:vAlign w:val="center"/>
          </w:tcPr>
          <w:p w14:paraId="16F20C60"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Times" w:hAnsiTheme="minorHAnsi" w:cstheme="minorHAnsi"/>
                <w:b/>
                <w:bCs/>
                <w:sz w:val="22"/>
                <w:szCs w:val="22"/>
              </w:rPr>
            </w:pPr>
            <w:r w:rsidRPr="00983F41">
              <w:rPr>
                <w:rFonts w:asciiTheme="minorHAnsi" w:hAnsiTheme="minorHAnsi" w:cstheme="minorHAnsi"/>
                <w:b/>
                <w:bCs/>
                <w:sz w:val="22"/>
                <w:szCs w:val="22"/>
              </w:rPr>
              <w:t>RESPONSIBILITY</w:t>
            </w:r>
          </w:p>
        </w:tc>
        <w:tc>
          <w:tcPr>
            <w:tcW w:w="2226" w:type="dxa"/>
          </w:tcPr>
          <w:p w14:paraId="5ED1775F"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9166E7" w:rsidRPr="00983F41" w14:paraId="7B2C6D0E" w14:textId="77777777" w:rsidTr="009166E7">
        <w:trPr>
          <w:trHeight w:val="556"/>
        </w:trPr>
        <w:tc>
          <w:tcPr>
            <w:tcW w:w="4775" w:type="dxa"/>
            <w:vAlign w:val="center"/>
          </w:tcPr>
          <w:p w14:paraId="59477E36"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sz w:val="22"/>
                <w:szCs w:val="22"/>
              </w:rPr>
            </w:pPr>
            <w:r w:rsidRPr="00983F41">
              <w:rPr>
                <w:rFonts w:asciiTheme="minorHAnsi" w:hAnsiTheme="minorHAnsi" w:cstheme="minorHAnsi"/>
                <w:sz w:val="22"/>
                <w:szCs w:val="22"/>
              </w:rPr>
              <w:t>Step 1: Distribution of meeting materials</w:t>
            </w:r>
          </w:p>
        </w:tc>
        <w:tc>
          <w:tcPr>
            <w:tcW w:w="2349" w:type="dxa"/>
            <w:vAlign w:val="center"/>
          </w:tcPr>
          <w:p w14:paraId="26C1C4F2"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imes" w:hAnsiTheme="minorHAnsi" w:cstheme="minorHAnsi"/>
                <w:b/>
                <w:bCs/>
                <w:sz w:val="22"/>
                <w:szCs w:val="22"/>
              </w:rPr>
            </w:pPr>
            <w:r w:rsidRPr="00983F41">
              <w:rPr>
                <w:rFonts w:asciiTheme="minorHAnsi" w:hAnsiTheme="minorHAnsi" w:cstheme="minorHAnsi"/>
                <w:sz w:val="22"/>
                <w:szCs w:val="22"/>
              </w:rPr>
              <w:t>REC Staff</w:t>
            </w:r>
          </w:p>
        </w:tc>
        <w:tc>
          <w:tcPr>
            <w:tcW w:w="2226" w:type="dxa"/>
          </w:tcPr>
          <w:p w14:paraId="72AD3DE5" w14:textId="442F0965" w:rsidR="009166E7" w:rsidRPr="00983F41" w:rsidRDefault="00525C8C"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 xml:space="preserve"> (same day)</w:t>
            </w:r>
          </w:p>
        </w:tc>
      </w:tr>
      <w:tr w:rsidR="009166E7" w:rsidRPr="00983F41" w14:paraId="61C2B883" w14:textId="77777777" w:rsidTr="009166E7">
        <w:trPr>
          <w:trHeight w:val="639"/>
        </w:trPr>
        <w:tc>
          <w:tcPr>
            <w:tcW w:w="4775" w:type="dxa"/>
            <w:vAlign w:val="center"/>
          </w:tcPr>
          <w:p w14:paraId="72609D75"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imes" w:hAnsiTheme="minorHAnsi" w:cstheme="minorHAnsi"/>
                <w:b/>
                <w:bCs/>
                <w:sz w:val="22"/>
                <w:szCs w:val="22"/>
              </w:rPr>
            </w:pPr>
            <w:r w:rsidRPr="00983F41">
              <w:rPr>
                <w:rFonts w:asciiTheme="minorHAnsi" w:hAnsiTheme="minorHAnsi" w:cstheme="minorHAnsi"/>
                <w:sz w:val="22"/>
                <w:szCs w:val="22"/>
              </w:rPr>
              <w:t>Step 2: Declaration  of quorum (formal start)</w:t>
            </w:r>
          </w:p>
        </w:tc>
        <w:tc>
          <w:tcPr>
            <w:tcW w:w="2349" w:type="dxa"/>
            <w:vAlign w:val="center"/>
          </w:tcPr>
          <w:p w14:paraId="7F857694"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imes" w:hAnsiTheme="minorHAnsi" w:cstheme="minorHAnsi"/>
                <w:b/>
                <w:bCs/>
                <w:sz w:val="22"/>
                <w:szCs w:val="22"/>
              </w:rPr>
            </w:pPr>
            <w:r w:rsidRPr="00983F41">
              <w:rPr>
                <w:rFonts w:asciiTheme="minorHAnsi" w:hAnsiTheme="minorHAnsi" w:cstheme="minorHAnsi"/>
                <w:sz w:val="22"/>
                <w:szCs w:val="22"/>
              </w:rPr>
              <w:t>Member Secretary or Chair</w:t>
            </w:r>
          </w:p>
        </w:tc>
        <w:tc>
          <w:tcPr>
            <w:tcW w:w="2226" w:type="dxa"/>
          </w:tcPr>
          <w:p w14:paraId="3E230D51" w14:textId="41796091" w:rsidR="009166E7" w:rsidRPr="00983F41" w:rsidRDefault="00525C8C"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83F41" w14:paraId="58F9B548" w14:textId="77777777" w:rsidTr="009166E7">
        <w:trPr>
          <w:trHeight w:val="639"/>
        </w:trPr>
        <w:tc>
          <w:tcPr>
            <w:tcW w:w="4775" w:type="dxa"/>
            <w:vAlign w:val="center"/>
          </w:tcPr>
          <w:p w14:paraId="062D5C80"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imes" w:hAnsiTheme="minorHAnsi" w:cstheme="minorHAnsi"/>
                <w:b/>
                <w:bCs/>
                <w:sz w:val="22"/>
                <w:szCs w:val="22"/>
              </w:rPr>
            </w:pPr>
            <w:r w:rsidRPr="00983F41">
              <w:rPr>
                <w:rFonts w:asciiTheme="minorHAnsi" w:hAnsiTheme="minorHAnsi" w:cstheme="minorHAnsi"/>
                <w:sz w:val="22"/>
                <w:szCs w:val="22"/>
              </w:rPr>
              <w:t>Step 3: Approval of the provisional agenda</w:t>
            </w:r>
          </w:p>
        </w:tc>
        <w:tc>
          <w:tcPr>
            <w:tcW w:w="2349" w:type="dxa"/>
            <w:vAlign w:val="center"/>
          </w:tcPr>
          <w:p w14:paraId="154244FD" w14:textId="77777777" w:rsidR="009166E7" w:rsidRPr="00983F41" w:rsidRDefault="009166E7"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imes" w:hAnsiTheme="minorHAnsi" w:cstheme="minorHAnsi"/>
                <w:b/>
                <w:bCs/>
                <w:sz w:val="22"/>
                <w:szCs w:val="22"/>
              </w:rPr>
            </w:pPr>
            <w:r w:rsidRPr="00983F41">
              <w:rPr>
                <w:rFonts w:asciiTheme="minorHAnsi" w:hAnsiTheme="minorHAnsi" w:cstheme="minorHAnsi"/>
                <w:sz w:val="22"/>
                <w:szCs w:val="22"/>
              </w:rPr>
              <w:t>REC Members</w:t>
            </w:r>
          </w:p>
        </w:tc>
        <w:tc>
          <w:tcPr>
            <w:tcW w:w="2226" w:type="dxa"/>
          </w:tcPr>
          <w:p w14:paraId="2A5D5103" w14:textId="67A703C2" w:rsidR="009166E7" w:rsidRPr="00983F41" w:rsidRDefault="00525C8C" w:rsidP="009166E7">
            <w:pPr>
              <w:pStyle w:val="FreeForm"/>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bl>
    <w:p w14:paraId="629A8F25" w14:textId="5E7279FF" w:rsidR="00092E70" w:rsidRDefault="00092E70" w:rsidP="0059759A">
      <w:pPr>
        <w:pStyle w:val="NoSpacing"/>
        <w:jc w:val="center"/>
        <w:rPr>
          <w:rFonts w:cstheme="minorHAnsi"/>
          <w:b/>
        </w:rPr>
      </w:pPr>
    </w:p>
    <w:tbl>
      <w:tblPr>
        <w:tblpPr w:leftFromText="180" w:rightFromText="180" w:vertAnchor="text" w:horzAnchor="margin" w:tblpY="-43"/>
        <w:tblW w:w="948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52"/>
        <w:gridCol w:w="2268"/>
        <w:gridCol w:w="2268"/>
      </w:tblGrid>
      <w:tr w:rsidR="009166E7" w:rsidRPr="009166E7" w14:paraId="40DC9185" w14:textId="318F8307" w:rsidTr="009166E7">
        <w:trPr>
          <w:trHeight w:val="464"/>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17B8190B"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4: Declaration of conflict of interest (COI)</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0CA569E8"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REC Members (who have COI)</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69A278BC" w14:textId="2C7C2EF2"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5222DCF9" w14:textId="18FEB24B" w:rsidTr="009166E7">
        <w:trPr>
          <w:trHeight w:val="540"/>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68C7638C"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5: Approval of minutes of the previous meeting</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4442CF98"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REC Members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7E0AB398" w14:textId="1FEE5F95"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2B5D6006" w14:textId="7B98D1F0" w:rsidTr="009166E7">
        <w:trPr>
          <w:trHeight w:val="382"/>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1E8425BC"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6: Discussion of “Business arising from the minutes”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4EA858A4"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REC Members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30BAF0FB" w14:textId="1EAABA5C"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53F64017" w14:textId="0EBB8C5A" w:rsidTr="009166E7">
        <w:trPr>
          <w:trHeight w:val="674"/>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383994DB" w14:textId="49A9B22B"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7: Review of protocols and protocol-related submissions (SOP on Full Review (SOP#</w:t>
            </w:r>
            <w:r>
              <w:rPr>
                <w:rFonts w:asciiTheme="minorHAnsi" w:hAnsiTheme="minorHAnsi" w:cstheme="minorHAnsi"/>
                <w:sz w:val="22"/>
                <w:szCs w:val="22"/>
              </w:rPr>
              <w:t xml:space="preserve"> 05</w:t>
            </w:r>
            <w:r w:rsidRPr="009166E7">
              <w:rPr>
                <w:rFonts w:asciiTheme="minorHAnsi" w:hAnsiTheme="minorHAnsi" w:cstheme="minorHAnsi"/>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141064C3"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REC Chair and Members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4C0410E4" w14:textId="2317FF2C"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2119D493" w14:textId="5308DD82" w:rsidTr="009166E7">
        <w:trPr>
          <w:trHeight w:val="671"/>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2905957D" w14:textId="535ED95A"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8: Report of results of expedited review (SOP on Expedited Review (SOP#</w:t>
            </w:r>
            <w:r>
              <w:rPr>
                <w:rFonts w:asciiTheme="minorHAnsi" w:hAnsiTheme="minorHAnsi" w:cstheme="minorHAnsi"/>
                <w:sz w:val="22"/>
                <w:szCs w:val="22"/>
              </w:rPr>
              <w:t xml:space="preserve"> 04</w:t>
            </w:r>
            <w:r w:rsidRPr="009166E7">
              <w:rPr>
                <w:rFonts w:asciiTheme="minorHAnsi" w:hAnsiTheme="minorHAnsi" w:cstheme="minorHAnsi"/>
                <w:sz w:val="22"/>
                <w:szCs w:val="22"/>
              </w:rPr>
              <w:t>))</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6449BCC"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Designated Reviewers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1626A689" w14:textId="544A7E21"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77F7DFC4" w14:textId="63CF953B" w:rsidTr="009166E7">
        <w:trPr>
          <w:trHeight w:val="386"/>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76FCE1B7"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lastRenderedPageBreak/>
              <w:t>Step 9: Discussion of operations-related matters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E6C3346"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REC Chair and Members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2D9CF2DE" w14:textId="2AE9766B"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04857ED3" w14:textId="791E00D7" w:rsidTr="009166E7">
        <w:trPr>
          <w:trHeight w:val="280"/>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7B504C26"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10: Adjournment</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52864803"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Chair</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0F134247" w14:textId="730DC8AF"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r w:rsidR="001C3F13">
              <w:rPr>
                <w:rFonts w:asciiTheme="minorHAnsi" w:hAnsiTheme="minorHAnsi" w:cstheme="minorHAnsi"/>
                <w:sz w:val="22"/>
                <w:szCs w:val="22"/>
              </w:rPr>
              <w:t>(same day)</w:t>
            </w:r>
          </w:p>
        </w:tc>
      </w:tr>
      <w:tr w:rsidR="009166E7" w:rsidRPr="009166E7" w14:paraId="6BA5CF03" w14:textId="70E24F2B" w:rsidTr="009166E7">
        <w:trPr>
          <w:trHeight w:val="346"/>
        </w:trPr>
        <w:tc>
          <w:tcPr>
            <w:tcW w:w="495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105F0F11"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Step 11: Collection, storage, and disposal of meeting materials</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vAlign w:val="center"/>
          </w:tcPr>
          <w:p w14:paraId="29D1AB4F" w14:textId="77777777" w:rsidR="009166E7" w:rsidRPr="009166E7" w:rsidRDefault="009166E7" w:rsidP="00C11902">
            <w:pPr>
              <w:pStyle w:val="FreeForm"/>
              <w:spacing w:line="276" w:lineRule="auto"/>
              <w:jc w:val="both"/>
              <w:rPr>
                <w:rFonts w:asciiTheme="minorHAnsi" w:hAnsiTheme="minorHAnsi" w:cstheme="minorHAnsi"/>
                <w:sz w:val="22"/>
                <w:szCs w:val="22"/>
              </w:rPr>
            </w:pPr>
            <w:r w:rsidRPr="009166E7">
              <w:rPr>
                <w:rFonts w:asciiTheme="minorHAnsi" w:hAnsiTheme="minorHAnsi" w:cstheme="minorHAnsi"/>
                <w:sz w:val="22"/>
                <w:szCs w:val="22"/>
              </w:rPr>
              <w:t>Staff</w:t>
            </w:r>
          </w:p>
        </w:tc>
        <w:tc>
          <w:tcPr>
            <w:tcW w:w="2268" w:type="dxa"/>
            <w:tcBorders>
              <w:top w:val="single" w:sz="8" w:space="0" w:color="000000"/>
              <w:left w:val="single" w:sz="8" w:space="0" w:color="000000"/>
              <w:bottom w:val="single" w:sz="8" w:space="0" w:color="000000"/>
              <w:right w:val="single" w:sz="8" w:space="0" w:color="000000"/>
            </w:tcBorders>
            <w:shd w:val="clear" w:color="auto" w:fill="FEFFFF"/>
          </w:tcPr>
          <w:p w14:paraId="3504195C" w14:textId="31AD8687" w:rsidR="009166E7" w:rsidRPr="009166E7" w:rsidRDefault="00525C8C" w:rsidP="00C11902">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1 -2 days</w:t>
            </w:r>
          </w:p>
        </w:tc>
      </w:tr>
    </w:tbl>
    <w:p w14:paraId="39B09985" w14:textId="46FE60C0" w:rsidR="009166E7" w:rsidRDefault="009166E7" w:rsidP="009166E7">
      <w:pPr>
        <w:pStyle w:val="NoSpacing"/>
        <w:rPr>
          <w:rFonts w:cstheme="minorHAnsi"/>
          <w:b/>
        </w:rPr>
      </w:pPr>
    </w:p>
    <w:p w14:paraId="27D292FF" w14:textId="77777777" w:rsidR="009166E7" w:rsidRDefault="009166E7"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641C9DA0" w14:textId="19C8A261" w:rsidR="00983F41" w:rsidRPr="00751091" w:rsidRDefault="00983F41" w:rsidP="00983F41">
      <w:pPr>
        <w:pStyle w:val="FreeForm"/>
        <w:spacing w:after="240" w:line="276" w:lineRule="auto"/>
        <w:jc w:val="both"/>
        <w:rPr>
          <w:rFonts w:asciiTheme="minorHAnsi" w:hAnsiTheme="minorHAnsi" w:cstheme="minorHAnsi"/>
          <w:sz w:val="22"/>
          <w:szCs w:val="22"/>
        </w:rPr>
      </w:pPr>
      <w:r w:rsidRPr="00983F41">
        <w:rPr>
          <w:rFonts w:asciiTheme="minorHAnsi" w:hAnsiTheme="minorHAnsi" w:cstheme="minorHAnsi"/>
          <w:sz w:val="22"/>
          <w:szCs w:val="22"/>
        </w:rPr>
        <w:t xml:space="preserve">Step 1 - Distribution of meeting materials: </w:t>
      </w:r>
      <w:r w:rsidR="00751091">
        <w:rPr>
          <w:rFonts w:asciiTheme="minorHAnsi" w:hAnsiTheme="minorHAnsi" w:cstheme="minorHAnsi"/>
          <w:sz w:val="22"/>
          <w:szCs w:val="22"/>
        </w:rPr>
        <w:t xml:space="preserve">The documents needed would include </w:t>
      </w:r>
      <w:r w:rsidR="00DF649C">
        <w:rPr>
          <w:rFonts w:asciiTheme="minorHAnsi" w:hAnsiTheme="minorHAnsi" w:cstheme="minorHAnsi"/>
          <w:sz w:val="22"/>
          <w:szCs w:val="22"/>
        </w:rPr>
        <w:t>Meeting Agenda, Approved minutes of the meeting of the previous meeting agenda and related study protocols or study protocol synopses (</w:t>
      </w:r>
      <w:r w:rsidR="00751091">
        <w:rPr>
          <w:rFonts w:asciiTheme="minorHAnsi" w:hAnsiTheme="minorHAnsi" w:cstheme="minorHAnsi"/>
          <w:sz w:val="22"/>
          <w:szCs w:val="22"/>
        </w:rPr>
        <w:t>Research Protocol / Paper, Informed consent, Technical Panel Clearance, Protocol evaluation form, Informed consent evaluation form</w:t>
      </w:r>
      <w:r w:rsidR="00DF649C">
        <w:rPr>
          <w:rFonts w:asciiTheme="minorHAnsi" w:hAnsiTheme="minorHAnsi" w:cstheme="minorHAnsi"/>
          <w:sz w:val="22"/>
          <w:szCs w:val="22"/>
        </w:rPr>
        <w:t xml:space="preserve">). </w:t>
      </w:r>
      <w:r w:rsidR="00751091">
        <w:rPr>
          <w:rFonts w:asciiTheme="minorHAnsi" w:hAnsiTheme="minorHAnsi" w:cstheme="minorHAnsi"/>
          <w:sz w:val="22"/>
          <w:szCs w:val="22"/>
        </w:rPr>
        <w:t xml:space="preserve"> These documents should have been prepared ahead in accordance with SOP 17 on Preparing for a meeting. Copies would be provided to all REC members 5 to 7 days  before </w:t>
      </w:r>
      <w:r w:rsidRPr="00983F41">
        <w:rPr>
          <w:rFonts w:asciiTheme="minorHAnsi" w:hAnsiTheme="minorHAnsi" w:cstheme="minorHAnsi"/>
          <w:sz w:val="22"/>
          <w:szCs w:val="22"/>
        </w:rPr>
        <w:t xml:space="preserve"> the start of the meeting. </w:t>
      </w:r>
    </w:p>
    <w:p w14:paraId="38D7E954" w14:textId="24F4683E" w:rsidR="00983F41" w:rsidRPr="00983F41" w:rsidRDefault="00983F41" w:rsidP="00983F41">
      <w:pPr>
        <w:pStyle w:val="FreeForm"/>
        <w:spacing w:after="240" w:line="276" w:lineRule="auto"/>
        <w:jc w:val="both"/>
        <w:rPr>
          <w:rFonts w:asciiTheme="minorHAnsi" w:eastAsia="Times" w:hAnsiTheme="minorHAnsi" w:cstheme="minorHAnsi"/>
          <w:sz w:val="22"/>
          <w:szCs w:val="22"/>
        </w:rPr>
      </w:pPr>
      <w:r w:rsidRPr="00983F41">
        <w:rPr>
          <w:rFonts w:asciiTheme="minorHAnsi" w:hAnsiTheme="minorHAnsi" w:cstheme="minorHAnsi"/>
          <w:sz w:val="22"/>
          <w:szCs w:val="22"/>
        </w:rPr>
        <w:t xml:space="preserve">Step 2 – Declaration of quorum: </w:t>
      </w:r>
      <w:r w:rsidR="00751091">
        <w:rPr>
          <w:rFonts w:asciiTheme="minorHAnsi" w:hAnsiTheme="minorHAnsi" w:cstheme="minorHAnsi"/>
          <w:sz w:val="22"/>
          <w:szCs w:val="22"/>
        </w:rPr>
        <w:t xml:space="preserve">Qourum is declared when 50% of members plus one </w:t>
      </w:r>
      <w:r w:rsidR="0069523A">
        <w:rPr>
          <w:rFonts w:asciiTheme="minorHAnsi" w:hAnsiTheme="minorHAnsi" w:cstheme="minorHAnsi"/>
          <w:sz w:val="22"/>
          <w:szCs w:val="22"/>
        </w:rPr>
        <w:t>are</w:t>
      </w:r>
      <w:r w:rsidR="00751091">
        <w:rPr>
          <w:rFonts w:asciiTheme="minorHAnsi" w:hAnsiTheme="minorHAnsi" w:cstheme="minorHAnsi"/>
          <w:sz w:val="22"/>
          <w:szCs w:val="22"/>
        </w:rPr>
        <w:t xml:space="preserve"> present.</w:t>
      </w:r>
      <w:r w:rsidR="004F12C0" w:rsidRPr="004F12C0">
        <w:t xml:space="preserve"> </w:t>
      </w:r>
      <w:r w:rsidR="004F12C0" w:rsidRPr="004F12C0">
        <w:rPr>
          <w:rFonts w:asciiTheme="minorHAnsi" w:hAnsiTheme="minorHAnsi" w:cstheme="minorHAnsi"/>
          <w:sz w:val="22"/>
          <w:szCs w:val="22"/>
          <w:highlight w:val="yellow"/>
        </w:rPr>
        <w:t>Including the presence of a non-affiliated and a nonscientist (lay) members as a requirement of quorum.</w:t>
      </w:r>
      <w:r w:rsidR="00751091">
        <w:rPr>
          <w:rFonts w:asciiTheme="minorHAnsi" w:hAnsiTheme="minorHAnsi" w:cstheme="minorHAnsi"/>
          <w:sz w:val="22"/>
          <w:szCs w:val="22"/>
        </w:rPr>
        <w:t xml:space="preserve"> </w:t>
      </w:r>
      <w:r w:rsidR="0069523A">
        <w:rPr>
          <w:rFonts w:asciiTheme="minorHAnsi" w:hAnsiTheme="minorHAnsi" w:cstheme="minorHAnsi"/>
          <w:sz w:val="22"/>
          <w:szCs w:val="22"/>
        </w:rPr>
        <w:t>It is the Chair or the member Secretary who will declare qourum.</w:t>
      </w:r>
      <w:r w:rsidRPr="00983F41">
        <w:rPr>
          <w:rFonts w:asciiTheme="minorHAnsi" w:hAnsiTheme="minorHAnsi" w:cstheme="minorHAnsi"/>
          <w:sz w:val="22"/>
          <w:szCs w:val="22"/>
        </w:rPr>
        <w:t xml:space="preserve"> </w:t>
      </w:r>
      <w:r w:rsidR="0069523A" w:rsidRPr="0069523A">
        <w:rPr>
          <w:rFonts w:asciiTheme="minorHAnsi" w:hAnsiTheme="minorHAnsi" w:cstheme="minorHAnsi"/>
          <w:sz w:val="22"/>
          <w:szCs w:val="22"/>
          <w:lang w:val="en-PH"/>
        </w:rPr>
        <w:t xml:space="preserve">Confirmation of quorum is done at the start of the meeting and reconfirmation is done every time a decision needs to be made. </w:t>
      </w:r>
    </w:p>
    <w:p w14:paraId="4E1F0C10" w14:textId="699A69D2" w:rsidR="00983F41" w:rsidRPr="00983F41" w:rsidRDefault="00983F41" w:rsidP="00983F41">
      <w:pPr>
        <w:pStyle w:val="FreeForm"/>
        <w:spacing w:after="240" w:line="276" w:lineRule="auto"/>
        <w:jc w:val="both"/>
        <w:rPr>
          <w:rFonts w:asciiTheme="minorHAnsi" w:eastAsia="Times" w:hAnsiTheme="minorHAnsi" w:cstheme="minorHAnsi"/>
          <w:sz w:val="22"/>
          <w:szCs w:val="22"/>
        </w:rPr>
      </w:pPr>
      <w:r w:rsidRPr="00983F41">
        <w:rPr>
          <w:rFonts w:asciiTheme="minorHAnsi" w:hAnsiTheme="minorHAnsi" w:cstheme="minorHAnsi"/>
          <w:sz w:val="22"/>
          <w:szCs w:val="22"/>
        </w:rPr>
        <w:t xml:space="preserve">Step 3 - Approval of the provisional agenda: </w:t>
      </w:r>
      <w:r w:rsidR="0069523A">
        <w:rPr>
          <w:rFonts w:asciiTheme="minorHAnsi" w:hAnsiTheme="minorHAnsi" w:cstheme="minorHAnsi"/>
          <w:sz w:val="22"/>
          <w:szCs w:val="22"/>
        </w:rPr>
        <w:t>T</w:t>
      </w:r>
      <w:r w:rsidRPr="00983F41">
        <w:rPr>
          <w:rFonts w:asciiTheme="minorHAnsi" w:hAnsiTheme="minorHAnsi" w:cstheme="minorHAnsi"/>
          <w:sz w:val="22"/>
          <w:szCs w:val="22"/>
        </w:rPr>
        <w:t>he Chair invites the members to examine the provisional agenda and to propose addition or deletion of items.</w:t>
      </w:r>
      <w:r w:rsidR="00C84E81" w:rsidRPr="00C84E81">
        <w:rPr>
          <w:rFonts w:asciiTheme="minorHAnsi" w:eastAsiaTheme="minorEastAsia" w:hAnsiTheme="minorHAnsi" w:cstheme="minorBidi"/>
          <w:color w:val="auto"/>
          <w:sz w:val="22"/>
          <w:szCs w:val="22"/>
          <w:bdr w:val="none" w:sz="0" w:space="0" w:color="auto"/>
          <w:lang w:val="en-PH" w:eastAsia="zh-CN"/>
        </w:rPr>
        <w:t xml:space="preserve"> </w:t>
      </w:r>
    </w:p>
    <w:p w14:paraId="7300DA40" w14:textId="697AB2A0" w:rsidR="0069523A" w:rsidRDefault="00983F41" w:rsidP="00983F41">
      <w:pPr>
        <w:pStyle w:val="FreeForm"/>
        <w:spacing w:after="240" w:line="276" w:lineRule="auto"/>
        <w:jc w:val="both"/>
        <w:rPr>
          <w:rFonts w:asciiTheme="minorHAnsi" w:hAnsiTheme="minorHAnsi" w:cstheme="minorHAnsi"/>
          <w:sz w:val="22"/>
          <w:szCs w:val="22"/>
        </w:rPr>
      </w:pPr>
      <w:r w:rsidRPr="00983F41">
        <w:rPr>
          <w:rFonts w:asciiTheme="minorHAnsi" w:hAnsiTheme="minorHAnsi" w:cstheme="minorHAnsi"/>
          <w:sz w:val="22"/>
          <w:szCs w:val="22"/>
        </w:rPr>
        <w:t xml:space="preserve">Step 4 - Declaration of Conflict of Interest: </w:t>
      </w:r>
      <w:r w:rsidR="0069523A">
        <w:rPr>
          <w:rFonts w:asciiTheme="minorHAnsi" w:hAnsiTheme="minorHAnsi" w:cstheme="minorHAnsi"/>
          <w:sz w:val="22"/>
          <w:szCs w:val="22"/>
        </w:rPr>
        <w:t>The Chair would ask for any declaration of conflict of interest. Any member declaring COI would be a non-participant in the decision making process.</w:t>
      </w:r>
    </w:p>
    <w:p w14:paraId="559A6BBF" w14:textId="07979A80" w:rsidR="00C84E81" w:rsidRDefault="00983F41" w:rsidP="00983F41">
      <w:pPr>
        <w:pStyle w:val="FreeForm"/>
        <w:spacing w:after="240" w:line="276" w:lineRule="auto"/>
        <w:jc w:val="both"/>
        <w:rPr>
          <w:rFonts w:asciiTheme="minorHAnsi" w:hAnsiTheme="minorHAnsi" w:cstheme="minorHAnsi"/>
          <w:sz w:val="22"/>
          <w:szCs w:val="22"/>
          <w:lang w:val="en-PH"/>
        </w:rPr>
      </w:pPr>
      <w:r w:rsidRPr="00983F41">
        <w:rPr>
          <w:rFonts w:asciiTheme="minorHAnsi" w:hAnsiTheme="minorHAnsi" w:cstheme="minorHAnsi"/>
          <w:sz w:val="22"/>
          <w:szCs w:val="22"/>
        </w:rPr>
        <w:t xml:space="preserve">Step 5 - Approval of minutes of previous meeting: </w:t>
      </w:r>
      <w:r w:rsidR="00C84E81" w:rsidRPr="00C84E81">
        <w:rPr>
          <w:rFonts w:asciiTheme="minorHAnsi" w:hAnsiTheme="minorHAnsi" w:cstheme="minorHAnsi"/>
          <w:sz w:val="22"/>
          <w:szCs w:val="22"/>
          <w:lang w:val="en-PH"/>
        </w:rPr>
        <w:t>The Chair presides over the review of the Minutes of the previous meeting.</w:t>
      </w:r>
      <w:r w:rsidR="00C84E81">
        <w:rPr>
          <w:rFonts w:asciiTheme="minorHAnsi" w:hAnsiTheme="minorHAnsi" w:cstheme="minorHAnsi"/>
          <w:sz w:val="22"/>
          <w:szCs w:val="22"/>
          <w:lang w:val="en-PH"/>
        </w:rPr>
        <w:t xml:space="preserve"> </w:t>
      </w:r>
      <w:r w:rsidR="00C84E81" w:rsidRPr="00C84E81">
        <w:rPr>
          <w:rFonts w:asciiTheme="minorHAnsi" w:hAnsiTheme="minorHAnsi" w:cstheme="minorHAnsi"/>
          <w:sz w:val="22"/>
          <w:szCs w:val="22"/>
          <w:lang w:val="en-PH"/>
        </w:rPr>
        <w:t>Any member can declare a motion for approval, which any member can second. The Chair then declares approval of the Minutes of the previous meeting.</w:t>
      </w:r>
    </w:p>
    <w:p w14:paraId="7A348BFF" w14:textId="50267F8F" w:rsidR="00C84E81" w:rsidRDefault="00983F41" w:rsidP="00983F41">
      <w:pPr>
        <w:pStyle w:val="FreeForm"/>
        <w:spacing w:after="240" w:line="276" w:lineRule="auto"/>
        <w:jc w:val="both"/>
        <w:rPr>
          <w:rFonts w:asciiTheme="minorHAnsi" w:hAnsiTheme="minorHAnsi" w:cstheme="minorHAnsi"/>
          <w:sz w:val="22"/>
          <w:szCs w:val="22"/>
        </w:rPr>
      </w:pPr>
      <w:r w:rsidRPr="00983F41">
        <w:rPr>
          <w:rFonts w:asciiTheme="minorHAnsi" w:hAnsiTheme="minorHAnsi" w:cstheme="minorHAnsi"/>
          <w:sz w:val="22"/>
          <w:szCs w:val="22"/>
        </w:rPr>
        <w:t xml:space="preserve">Step 6 - Discussion of “Business arising from the minutes”: </w:t>
      </w:r>
      <w:r w:rsidR="00C84E81">
        <w:rPr>
          <w:rFonts w:asciiTheme="minorHAnsi" w:hAnsiTheme="minorHAnsi" w:cstheme="minorHAnsi"/>
          <w:sz w:val="22"/>
          <w:szCs w:val="22"/>
        </w:rPr>
        <w:t xml:space="preserve">The Chair or member Secretary reports on „business arising from the minutes“ </w:t>
      </w:r>
      <w:r w:rsidR="00C84E81" w:rsidRPr="00C84E81">
        <w:rPr>
          <w:rFonts w:asciiTheme="minorHAnsi" w:hAnsiTheme="minorHAnsi" w:cstheme="minorHAnsi"/>
          <w:sz w:val="22"/>
          <w:szCs w:val="22"/>
          <w:lang w:val="en-PH"/>
        </w:rPr>
        <w:t>The Chair encourages all members present in the meeting to actively participate in all the discussions. All actions on study protocol submissions being reviewed are decided upon by majority of votes.</w:t>
      </w:r>
    </w:p>
    <w:p w14:paraId="26E0C7AC" w14:textId="5F3E718A" w:rsidR="00C84E81" w:rsidRDefault="00983F41" w:rsidP="00983F41">
      <w:pPr>
        <w:pStyle w:val="FreeForm"/>
        <w:spacing w:after="240" w:line="276" w:lineRule="auto"/>
        <w:jc w:val="both"/>
        <w:rPr>
          <w:rFonts w:asciiTheme="minorHAnsi" w:hAnsiTheme="minorHAnsi" w:cstheme="minorHAnsi"/>
          <w:sz w:val="22"/>
          <w:szCs w:val="22"/>
        </w:rPr>
      </w:pPr>
      <w:r w:rsidRPr="00983F41">
        <w:rPr>
          <w:rFonts w:asciiTheme="minorHAnsi" w:hAnsiTheme="minorHAnsi" w:cstheme="minorHAnsi"/>
          <w:sz w:val="22"/>
          <w:szCs w:val="22"/>
        </w:rPr>
        <w:t xml:space="preserve">Step 7 - Review of protocols and protocol-related submissions: </w:t>
      </w:r>
      <w:r w:rsidR="00C84E81">
        <w:rPr>
          <w:rFonts w:asciiTheme="minorHAnsi" w:hAnsiTheme="minorHAnsi" w:cstheme="minorHAnsi"/>
          <w:sz w:val="22"/>
          <w:szCs w:val="22"/>
        </w:rPr>
        <w:t>The REC will allow the principal investigator or researcher to make a presentation if need be. They would</w:t>
      </w:r>
      <w:r w:rsidR="00DF649C">
        <w:rPr>
          <w:rFonts w:asciiTheme="minorHAnsi" w:hAnsiTheme="minorHAnsi" w:cstheme="minorHAnsi"/>
          <w:sz w:val="22"/>
          <w:szCs w:val="22"/>
        </w:rPr>
        <w:t xml:space="preserve"> be</w:t>
      </w:r>
      <w:r w:rsidR="00C84E81">
        <w:rPr>
          <w:rFonts w:asciiTheme="minorHAnsi" w:hAnsiTheme="minorHAnsi" w:cstheme="minorHAnsi"/>
          <w:sz w:val="22"/>
          <w:szCs w:val="22"/>
        </w:rPr>
        <w:t xml:space="preserve"> invited for a clarificatory interview.</w:t>
      </w:r>
      <w:r w:rsidR="00DF649C">
        <w:rPr>
          <w:rFonts w:asciiTheme="minorHAnsi" w:hAnsiTheme="minorHAnsi" w:cstheme="minorHAnsi"/>
          <w:sz w:val="22"/>
          <w:szCs w:val="22"/>
        </w:rPr>
        <w:t xml:space="preserve"> An Independent Consultant  may be commissioned </w:t>
      </w:r>
      <w:r w:rsidR="004D6DE0">
        <w:rPr>
          <w:rFonts w:asciiTheme="minorHAnsi" w:hAnsiTheme="minorHAnsi" w:cstheme="minorHAnsi"/>
          <w:sz w:val="22"/>
          <w:szCs w:val="22"/>
        </w:rPr>
        <w:t xml:space="preserve">by REC of highly specialized areas to attend the part of the meeting related to specific studies for purposes of </w:t>
      </w:r>
      <w:r w:rsidR="004E3218">
        <w:rPr>
          <w:rFonts w:asciiTheme="minorHAnsi" w:hAnsiTheme="minorHAnsi" w:cstheme="minorHAnsi"/>
          <w:sz w:val="22"/>
          <w:szCs w:val="22"/>
        </w:rPr>
        <w:t>clarifying</w:t>
      </w:r>
      <w:r w:rsidR="004D6DE0">
        <w:rPr>
          <w:rFonts w:asciiTheme="minorHAnsi" w:hAnsiTheme="minorHAnsi" w:cstheme="minorHAnsi"/>
          <w:sz w:val="22"/>
          <w:szCs w:val="22"/>
        </w:rPr>
        <w:t xml:space="preserve"> issues related to the study protocol only. They will not be counted during determination of quorum and will not be able to vote for full board actions during the meeting.</w:t>
      </w:r>
    </w:p>
    <w:p w14:paraId="112325DB" w14:textId="65F3B461" w:rsidR="00983F41" w:rsidRDefault="004D6DE0" w:rsidP="00983F41">
      <w:pPr>
        <w:pStyle w:val="FreeForm"/>
        <w:spacing w:after="240" w:line="276" w:lineRule="auto"/>
        <w:jc w:val="both"/>
        <w:rPr>
          <w:rFonts w:asciiTheme="minorHAnsi" w:hAnsiTheme="minorHAnsi" w:cstheme="minorHAnsi"/>
          <w:sz w:val="22"/>
          <w:szCs w:val="22"/>
        </w:rPr>
      </w:pPr>
      <w:r>
        <w:rPr>
          <w:rFonts w:asciiTheme="minorHAnsi" w:hAnsiTheme="minorHAnsi" w:cstheme="minorHAnsi"/>
          <w:sz w:val="22"/>
          <w:szCs w:val="22"/>
        </w:rPr>
        <w:t>The seque</w:t>
      </w:r>
      <w:r w:rsidR="006425A9">
        <w:rPr>
          <w:rFonts w:asciiTheme="minorHAnsi" w:hAnsiTheme="minorHAnsi" w:cstheme="minorHAnsi"/>
          <w:sz w:val="22"/>
          <w:szCs w:val="22"/>
        </w:rPr>
        <w:t>nce</w:t>
      </w:r>
      <w:r>
        <w:rPr>
          <w:rFonts w:asciiTheme="minorHAnsi" w:hAnsiTheme="minorHAnsi" w:cstheme="minorHAnsi"/>
          <w:sz w:val="22"/>
          <w:szCs w:val="22"/>
        </w:rPr>
        <w:t xml:space="preserve"> of the review would be as follows:</w:t>
      </w:r>
      <w:r w:rsidR="00983F41" w:rsidRPr="00983F41">
        <w:rPr>
          <w:rFonts w:asciiTheme="minorHAnsi" w:hAnsiTheme="minorHAnsi" w:cstheme="minorHAnsi"/>
          <w:sz w:val="22"/>
          <w:szCs w:val="22"/>
        </w:rPr>
        <w:t xml:space="preserve"> technical issues, ethical issues, and informed consent process/form issues. The primary reviewers should be guided by the assessment form in their presentations. See SOP </w:t>
      </w:r>
      <w:r w:rsidR="00B42F45">
        <w:rPr>
          <w:rFonts w:asciiTheme="minorHAnsi" w:hAnsiTheme="minorHAnsi" w:cstheme="minorHAnsi"/>
          <w:sz w:val="22"/>
          <w:szCs w:val="22"/>
        </w:rPr>
        <w:t>05</w:t>
      </w:r>
      <w:r w:rsidR="00983F41" w:rsidRPr="00983F41">
        <w:rPr>
          <w:rFonts w:asciiTheme="minorHAnsi" w:hAnsiTheme="minorHAnsi" w:cstheme="minorHAnsi"/>
          <w:sz w:val="22"/>
          <w:szCs w:val="22"/>
        </w:rPr>
        <w:t xml:space="preserve"> Full Review.</w:t>
      </w:r>
    </w:p>
    <w:p w14:paraId="128B7552" w14:textId="37BEC3AA" w:rsidR="004D6DE0" w:rsidRPr="00983F41" w:rsidRDefault="004D6DE0" w:rsidP="00983F41">
      <w:pPr>
        <w:pStyle w:val="FreeForm"/>
        <w:spacing w:after="240" w:line="276" w:lineRule="auto"/>
        <w:jc w:val="both"/>
        <w:rPr>
          <w:rFonts w:asciiTheme="minorHAnsi" w:eastAsia="Times" w:hAnsiTheme="minorHAnsi" w:cstheme="minorHAnsi"/>
          <w:sz w:val="22"/>
          <w:szCs w:val="22"/>
        </w:rPr>
      </w:pPr>
      <w:r w:rsidRPr="004D6DE0">
        <w:rPr>
          <w:rFonts w:asciiTheme="minorHAnsi" w:eastAsia="Times" w:hAnsiTheme="minorHAnsi" w:cstheme="minorHAnsi"/>
          <w:sz w:val="22"/>
          <w:szCs w:val="22"/>
          <w:lang w:val="en-PH"/>
        </w:rPr>
        <w:t>All actions on study protocol submissions being reviewed are decided upon by majority of votes.</w:t>
      </w:r>
      <w:r>
        <w:rPr>
          <w:rFonts w:asciiTheme="minorHAnsi" w:eastAsia="Times" w:hAnsiTheme="minorHAnsi" w:cstheme="minorHAnsi"/>
          <w:sz w:val="22"/>
          <w:szCs w:val="22"/>
          <w:lang w:val="en-PH"/>
        </w:rPr>
        <w:t xml:space="preserve"> Either by secret ballot or by raising hands.</w:t>
      </w:r>
    </w:p>
    <w:p w14:paraId="3EFC4068" w14:textId="5914FB2E" w:rsidR="00983F41" w:rsidRPr="00983F41" w:rsidRDefault="00983F41" w:rsidP="00983F41">
      <w:pPr>
        <w:pStyle w:val="FreeForm"/>
        <w:spacing w:after="240" w:line="276" w:lineRule="auto"/>
        <w:jc w:val="both"/>
        <w:rPr>
          <w:rFonts w:asciiTheme="minorHAnsi" w:eastAsia="Times" w:hAnsiTheme="minorHAnsi" w:cstheme="minorHAnsi"/>
          <w:sz w:val="22"/>
          <w:szCs w:val="22"/>
        </w:rPr>
      </w:pPr>
      <w:r w:rsidRPr="00983F41">
        <w:rPr>
          <w:rFonts w:asciiTheme="minorHAnsi" w:hAnsiTheme="minorHAnsi" w:cstheme="minorHAnsi"/>
          <w:sz w:val="22"/>
          <w:szCs w:val="22"/>
        </w:rPr>
        <w:t xml:space="preserve">Step 8 - Report of results of expedited review: </w:t>
      </w:r>
      <w:r w:rsidR="004D6DE0">
        <w:rPr>
          <w:rFonts w:asciiTheme="minorHAnsi" w:hAnsiTheme="minorHAnsi" w:cstheme="minorHAnsi"/>
          <w:sz w:val="22"/>
          <w:szCs w:val="22"/>
        </w:rPr>
        <w:t>One (1) or both of the primary reviewer will present the results of expedited review to the members.</w:t>
      </w:r>
      <w:r w:rsidRPr="00983F41">
        <w:rPr>
          <w:rFonts w:asciiTheme="minorHAnsi" w:hAnsiTheme="minorHAnsi" w:cstheme="minorHAnsi"/>
          <w:sz w:val="22"/>
          <w:szCs w:val="22"/>
        </w:rPr>
        <w:t xml:space="preserve"> </w:t>
      </w:r>
      <w:r w:rsidR="004D6DE0">
        <w:rPr>
          <w:rFonts w:asciiTheme="minorHAnsi" w:hAnsiTheme="minorHAnsi" w:cstheme="minorHAnsi"/>
          <w:sz w:val="22"/>
          <w:szCs w:val="22"/>
        </w:rPr>
        <w:t>E</w:t>
      </w:r>
      <w:r w:rsidRPr="00983F41">
        <w:rPr>
          <w:rFonts w:asciiTheme="minorHAnsi" w:hAnsiTheme="minorHAnsi" w:cstheme="minorHAnsi"/>
          <w:sz w:val="22"/>
          <w:szCs w:val="22"/>
        </w:rPr>
        <w:t>xpedited review results are for the information of the REC members, only, as well as for the documentation of the review results.</w:t>
      </w:r>
    </w:p>
    <w:p w14:paraId="256DE43F" w14:textId="668FEDAB" w:rsidR="006D5172" w:rsidRDefault="00983F41" w:rsidP="00983F41">
      <w:pPr>
        <w:pStyle w:val="FreeForm"/>
        <w:spacing w:after="240" w:line="276" w:lineRule="auto"/>
        <w:jc w:val="both"/>
        <w:rPr>
          <w:rFonts w:asciiTheme="minorHAnsi" w:hAnsiTheme="minorHAnsi" w:cstheme="minorHAnsi"/>
          <w:sz w:val="22"/>
          <w:szCs w:val="22"/>
        </w:rPr>
      </w:pPr>
      <w:r w:rsidRPr="00983F41">
        <w:rPr>
          <w:rFonts w:asciiTheme="minorHAnsi" w:hAnsiTheme="minorHAnsi" w:cstheme="minorHAnsi"/>
          <w:sz w:val="22"/>
          <w:szCs w:val="22"/>
        </w:rPr>
        <w:t xml:space="preserve">Step 9 - Discussion of operations-related matters: </w:t>
      </w:r>
      <w:r w:rsidR="006D5172">
        <w:rPr>
          <w:rFonts w:asciiTheme="minorHAnsi" w:hAnsiTheme="minorHAnsi" w:cstheme="minorHAnsi"/>
          <w:sz w:val="22"/>
          <w:szCs w:val="22"/>
        </w:rPr>
        <w:t>The following may be included in the operations-related matters: SOP manual review, revising and writting, Research Ethics trainings, REC composition, REC resources and other related matters.</w:t>
      </w:r>
    </w:p>
    <w:p w14:paraId="1BABBF29" w14:textId="2097EFAA" w:rsidR="00983F41" w:rsidRPr="00983F41" w:rsidRDefault="00983F41" w:rsidP="00983F41">
      <w:pPr>
        <w:pStyle w:val="FreeForm"/>
        <w:spacing w:after="240" w:line="276" w:lineRule="auto"/>
        <w:jc w:val="both"/>
        <w:rPr>
          <w:rFonts w:asciiTheme="minorHAnsi" w:eastAsia="Times" w:hAnsiTheme="minorHAnsi" w:cstheme="minorHAnsi"/>
          <w:sz w:val="22"/>
          <w:szCs w:val="22"/>
        </w:rPr>
      </w:pPr>
      <w:r w:rsidRPr="00983F41">
        <w:rPr>
          <w:rFonts w:asciiTheme="minorHAnsi" w:hAnsiTheme="minorHAnsi" w:cstheme="minorHAnsi"/>
          <w:sz w:val="22"/>
          <w:szCs w:val="22"/>
        </w:rPr>
        <w:t xml:space="preserve">Step 10 - Adjournment: </w:t>
      </w:r>
      <w:r w:rsidR="00217820">
        <w:rPr>
          <w:rFonts w:asciiTheme="minorHAnsi" w:hAnsiTheme="minorHAnsi" w:cstheme="minorHAnsi"/>
          <w:sz w:val="22"/>
          <w:szCs w:val="22"/>
        </w:rPr>
        <w:t xml:space="preserve">Before closing the meeting, the Chair calls for any other matters that need attention or action, as the need arises. </w:t>
      </w:r>
      <w:r w:rsidR="00EA4783" w:rsidRPr="00EA4783">
        <w:rPr>
          <w:rFonts w:asciiTheme="minorHAnsi" w:hAnsiTheme="minorHAnsi" w:cstheme="minorHAnsi"/>
          <w:sz w:val="22"/>
          <w:szCs w:val="22"/>
          <w:lang w:val="en-PH"/>
        </w:rPr>
        <w:t xml:space="preserve">With no further matters for discussion, the Chair formally adjourns the meeting, with the time noted by the </w:t>
      </w:r>
      <w:r w:rsidR="00EA4783">
        <w:rPr>
          <w:rFonts w:asciiTheme="minorHAnsi" w:hAnsiTheme="minorHAnsi" w:cstheme="minorHAnsi"/>
          <w:sz w:val="22"/>
          <w:szCs w:val="22"/>
          <w:lang w:val="en-PH"/>
        </w:rPr>
        <w:t>REC Staff</w:t>
      </w:r>
      <w:r w:rsidR="00EA4783" w:rsidRPr="00EA4783">
        <w:rPr>
          <w:rFonts w:asciiTheme="minorHAnsi" w:hAnsiTheme="minorHAnsi" w:cstheme="minorHAnsi"/>
          <w:sz w:val="22"/>
          <w:szCs w:val="22"/>
          <w:lang w:val="en-PH"/>
        </w:rPr>
        <w:t xml:space="preserve"> who is documenting the meeting.</w:t>
      </w:r>
      <w:r w:rsidR="00B00596">
        <w:rPr>
          <w:rFonts w:asciiTheme="minorHAnsi" w:hAnsiTheme="minorHAnsi" w:cstheme="minorHAnsi"/>
          <w:sz w:val="22"/>
          <w:szCs w:val="22"/>
          <w:lang w:val="en-PH"/>
        </w:rPr>
        <w:t xml:space="preserve"> </w:t>
      </w:r>
      <w:r w:rsidRPr="00983F41">
        <w:rPr>
          <w:rFonts w:asciiTheme="minorHAnsi" w:hAnsiTheme="minorHAnsi" w:cstheme="minorHAnsi"/>
          <w:sz w:val="22"/>
          <w:szCs w:val="22"/>
        </w:rPr>
        <w:t>Meeting must be adjourned after all items in the agenda have been discussed and/or resolved. A member must move for the adjournment of the meeting, and seconded, for it to be declared.</w:t>
      </w:r>
    </w:p>
    <w:p w14:paraId="26D1518D" w14:textId="3FAF81E9" w:rsidR="00983F41" w:rsidRPr="00983F41" w:rsidRDefault="00983F41" w:rsidP="00983F41">
      <w:pPr>
        <w:pStyle w:val="FreeForm"/>
        <w:spacing w:after="160" w:line="276" w:lineRule="auto"/>
        <w:jc w:val="both"/>
        <w:rPr>
          <w:rFonts w:asciiTheme="minorHAnsi" w:eastAsia="Times" w:hAnsiTheme="minorHAnsi" w:cstheme="minorHAnsi"/>
          <w:sz w:val="22"/>
          <w:szCs w:val="22"/>
        </w:rPr>
      </w:pPr>
      <w:r w:rsidRPr="00983F41">
        <w:rPr>
          <w:rFonts w:asciiTheme="minorHAnsi" w:hAnsiTheme="minorHAnsi" w:cstheme="minorHAnsi"/>
          <w:sz w:val="22"/>
          <w:szCs w:val="22"/>
        </w:rPr>
        <w:t xml:space="preserve">Step 11 - Collection, storage, and disposal of meeting materials: </w:t>
      </w:r>
      <w:r w:rsidR="00217820" w:rsidRPr="00217820">
        <w:rPr>
          <w:rFonts w:asciiTheme="minorHAnsi" w:hAnsiTheme="minorHAnsi" w:cstheme="minorHAnsi"/>
          <w:sz w:val="22"/>
          <w:szCs w:val="22"/>
          <w:lang w:val="en-PH"/>
        </w:rPr>
        <w:t xml:space="preserve">The Review Panel Staff collects all meeting materials, including the documentation collected for the Minutes of the meeting; mindful that these materials are confidential and must be handled </w:t>
      </w:r>
      <w:r w:rsidR="00217820">
        <w:rPr>
          <w:rFonts w:asciiTheme="minorHAnsi" w:hAnsiTheme="minorHAnsi" w:cstheme="minorHAnsi"/>
          <w:sz w:val="22"/>
          <w:szCs w:val="22"/>
          <w:lang w:val="en-PH"/>
        </w:rPr>
        <w:t xml:space="preserve">appropriately. </w:t>
      </w:r>
      <w:r w:rsidR="00217820" w:rsidRPr="00217820">
        <w:rPr>
          <w:rFonts w:asciiTheme="minorHAnsi" w:hAnsiTheme="minorHAnsi" w:cstheme="minorHAnsi"/>
          <w:sz w:val="22"/>
          <w:szCs w:val="22"/>
          <w:lang w:val="en-PH"/>
        </w:rPr>
        <w:t xml:space="preserve"> </w:t>
      </w:r>
      <w:r w:rsidRPr="00983F41">
        <w:rPr>
          <w:rFonts w:asciiTheme="minorHAnsi" w:hAnsiTheme="minorHAnsi" w:cstheme="minorHAnsi"/>
          <w:sz w:val="22"/>
          <w:szCs w:val="22"/>
        </w:rPr>
        <w:t>See SOPs on Managing Active Files (SOP#</w:t>
      </w:r>
      <w:r w:rsidR="00B42F45">
        <w:rPr>
          <w:rFonts w:asciiTheme="minorHAnsi" w:hAnsiTheme="minorHAnsi" w:cstheme="minorHAnsi"/>
          <w:sz w:val="22"/>
          <w:szCs w:val="22"/>
        </w:rPr>
        <w:t xml:space="preserve"> 23</w:t>
      </w:r>
      <w:r w:rsidRPr="00983F41">
        <w:rPr>
          <w:rFonts w:asciiTheme="minorHAnsi" w:hAnsiTheme="minorHAnsi" w:cstheme="minorHAnsi"/>
          <w:sz w:val="22"/>
          <w:szCs w:val="22"/>
        </w:rPr>
        <w:t xml:space="preserve">) and SOP </w:t>
      </w:r>
      <w:r w:rsidR="00B42F45">
        <w:rPr>
          <w:rFonts w:asciiTheme="minorHAnsi" w:hAnsiTheme="minorHAnsi" w:cstheme="minorHAnsi"/>
          <w:sz w:val="22"/>
          <w:szCs w:val="22"/>
        </w:rPr>
        <w:t># 18</w:t>
      </w:r>
      <w:r w:rsidRPr="00983F41">
        <w:rPr>
          <w:rFonts w:asciiTheme="minorHAnsi" w:hAnsiTheme="minorHAnsi" w:cstheme="minorHAnsi"/>
          <w:sz w:val="22"/>
          <w:szCs w:val="22"/>
        </w:rPr>
        <w:t xml:space="preserve"> Preparation of Agenda </w:t>
      </w:r>
    </w:p>
    <w:p w14:paraId="5E298EF7" w14:textId="46911517" w:rsidR="00951D64" w:rsidRPr="00983F41"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3AF4EEAA" w14:textId="4172AB20" w:rsidR="00983F41" w:rsidRPr="00B42F45" w:rsidRDefault="00B9157A" w:rsidP="00983F41">
      <w:pPr>
        <w:pStyle w:val="FreeForm"/>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 xml:space="preserve">SOP 6 </w:t>
      </w:r>
      <w:r w:rsidR="00983F41" w:rsidRPr="00B42F45">
        <w:rPr>
          <w:rFonts w:asciiTheme="minorHAnsi" w:hAnsiTheme="minorHAnsi" w:cstheme="minorHAnsi"/>
          <w:sz w:val="22"/>
          <w:szCs w:val="22"/>
        </w:rPr>
        <w:t xml:space="preserve">Form </w:t>
      </w:r>
      <w:r w:rsidR="00B42F45" w:rsidRPr="00B42F45">
        <w:rPr>
          <w:rFonts w:asciiTheme="minorHAnsi" w:hAnsiTheme="minorHAnsi" w:cstheme="minorHAnsi"/>
          <w:sz w:val="22"/>
          <w:szCs w:val="22"/>
        </w:rPr>
        <w:t>011</w:t>
      </w:r>
      <w:r w:rsidR="00983F41" w:rsidRPr="00B42F45">
        <w:rPr>
          <w:rFonts w:asciiTheme="minorHAnsi" w:hAnsiTheme="minorHAnsi" w:cstheme="minorHAnsi"/>
          <w:sz w:val="22"/>
          <w:szCs w:val="22"/>
        </w:rPr>
        <w:t xml:space="preserve"> Protocol Assessment Form</w:t>
      </w:r>
    </w:p>
    <w:p w14:paraId="6174B165" w14:textId="2427838B" w:rsidR="00983F41" w:rsidRPr="00B42F45" w:rsidRDefault="00B9157A" w:rsidP="00983F41">
      <w:pPr>
        <w:pStyle w:val="FreeForm"/>
        <w:spacing w:line="276" w:lineRule="auto"/>
        <w:ind w:left="720"/>
        <w:jc w:val="both"/>
        <w:rPr>
          <w:rFonts w:asciiTheme="minorHAnsi" w:eastAsia="Times" w:hAnsiTheme="minorHAnsi" w:cstheme="minorHAnsi"/>
          <w:sz w:val="22"/>
          <w:szCs w:val="22"/>
        </w:rPr>
      </w:pPr>
      <w:r>
        <w:rPr>
          <w:rFonts w:asciiTheme="minorHAnsi" w:hAnsiTheme="minorHAnsi" w:cstheme="minorHAnsi"/>
          <w:sz w:val="22"/>
          <w:szCs w:val="22"/>
        </w:rPr>
        <w:t xml:space="preserve">SOP 6 </w:t>
      </w:r>
      <w:r w:rsidR="00983F41" w:rsidRPr="00B42F45">
        <w:rPr>
          <w:rFonts w:asciiTheme="minorHAnsi" w:hAnsiTheme="minorHAnsi" w:cstheme="minorHAnsi"/>
          <w:sz w:val="22"/>
          <w:szCs w:val="22"/>
        </w:rPr>
        <w:t xml:space="preserve">Form </w:t>
      </w:r>
      <w:r w:rsidR="00B42F45" w:rsidRPr="00B42F45">
        <w:rPr>
          <w:rFonts w:asciiTheme="minorHAnsi" w:hAnsiTheme="minorHAnsi" w:cstheme="minorHAnsi"/>
          <w:sz w:val="22"/>
          <w:szCs w:val="22"/>
        </w:rPr>
        <w:t>012</w:t>
      </w:r>
      <w:r w:rsidR="00983F41" w:rsidRPr="00B42F45">
        <w:rPr>
          <w:rFonts w:asciiTheme="minorHAnsi" w:hAnsiTheme="minorHAnsi" w:cstheme="minorHAnsi"/>
          <w:sz w:val="22"/>
          <w:szCs w:val="22"/>
        </w:rPr>
        <w:t xml:space="preserve"> ICF Assessment Form</w:t>
      </w:r>
    </w:p>
    <w:p w14:paraId="719FDAF0" w14:textId="7FC78249" w:rsidR="00003139" w:rsidRPr="00B42F45" w:rsidRDefault="00B9157A" w:rsidP="00983F41">
      <w:pPr>
        <w:spacing w:after="0" w:line="240" w:lineRule="auto"/>
        <w:ind w:firstLine="720"/>
        <w:rPr>
          <w:rFonts w:eastAsia="MS Mincho" w:cstheme="minorHAnsi"/>
          <w:b/>
        </w:rPr>
      </w:pPr>
      <w:r>
        <w:rPr>
          <w:rFonts w:cstheme="minorHAnsi"/>
        </w:rPr>
        <w:t xml:space="preserve">SOP 6 </w:t>
      </w:r>
      <w:r w:rsidR="00983F41" w:rsidRPr="00B42F45">
        <w:rPr>
          <w:rFonts w:cstheme="minorHAnsi"/>
        </w:rPr>
        <w:t xml:space="preserve">Form </w:t>
      </w:r>
      <w:r w:rsidR="00B42F45" w:rsidRPr="00B42F45">
        <w:rPr>
          <w:rFonts w:cstheme="minorHAnsi"/>
        </w:rPr>
        <w:t>008</w:t>
      </w:r>
      <w:r w:rsidR="00983F41" w:rsidRPr="00B42F45">
        <w:rPr>
          <w:rFonts w:cstheme="minorHAnsi"/>
        </w:rPr>
        <w:t xml:space="preserve"> REC Decision Form</w:t>
      </w: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11902">
        <w:tc>
          <w:tcPr>
            <w:tcW w:w="1555" w:type="dxa"/>
          </w:tcPr>
          <w:p w14:paraId="3A1D4721" w14:textId="77777777" w:rsidR="00951D64" w:rsidRDefault="00951D64" w:rsidP="00C11902">
            <w:pPr>
              <w:rPr>
                <w:rFonts w:cstheme="minorHAnsi"/>
                <w:b/>
              </w:rPr>
            </w:pPr>
            <w:r>
              <w:rPr>
                <w:rFonts w:cstheme="minorHAnsi"/>
                <w:b/>
              </w:rPr>
              <w:t>Version No.</w:t>
            </w:r>
          </w:p>
        </w:tc>
        <w:tc>
          <w:tcPr>
            <w:tcW w:w="1984" w:type="dxa"/>
          </w:tcPr>
          <w:p w14:paraId="103E8778" w14:textId="77777777" w:rsidR="00951D64" w:rsidRDefault="00951D64" w:rsidP="00C11902">
            <w:pPr>
              <w:rPr>
                <w:rFonts w:cstheme="minorHAnsi"/>
                <w:b/>
              </w:rPr>
            </w:pPr>
            <w:r>
              <w:rPr>
                <w:rFonts w:cstheme="minorHAnsi"/>
                <w:b/>
              </w:rPr>
              <w:t>Date</w:t>
            </w:r>
          </w:p>
        </w:tc>
        <w:tc>
          <w:tcPr>
            <w:tcW w:w="2410" w:type="dxa"/>
          </w:tcPr>
          <w:p w14:paraId="49DFCF33" w14:textId="77777777" w:rsidR="00951D64" w:rsidRDefault="00951D64" w:rsidP="00C11902">
            <w:pPr>
              <w:rPr>
                <w:rFonts w:cstheme="minorHAnsi"/>
                <w:b/>
              </w:rPr>
            </w:pPr>
            <w:r>
              <w:rPr>
                <w:rFonts w:cstheme="minorHAnsi"/>
                <w:b/>
              </w:rPr>
              <w:t>Authors</w:t>
            </w:r>
          </w:p>
        </w:tc>
        <w:tc>
          <w:tcPr>
            <w:tcW w:w="3401" w:type="dxa"/>
          </w:tcPr>
          <w:p w14:paraId="2A1CB1BE" w14:textId="77777777" w:rsidR="00951D64" w:rsidRDefault="00951D64" w:rsidP="00C11902">
            <w:pPr>
              <w:rPr>
                <w:rFonts w:cstheme="minorHAnsi"/>
                <w:b/>
              </w:rPr>
            </w:pPr>
            <w:r>
              <w:rPr>
                <w:rFonts w:cstheme="minorHAnsi"/>
                <w:b/>
              </w:rPr>
              <w:t>Main Change</w:t>
            </w:r>
          </w:p>
        </w:tc>
      </w:tr>
      <w:tr w:rsidR="00666717" w14:paraId="2D8F1BD0" w14:textId="77777777" w:rsidTr="00C11902">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3100A57" w:rsidR="00666717" w:rsidRDefault="000C04B4" w:rsidP="00666717">
            <w:pPr>
              <w:rPr>
                <w:rFonts w:cstheme="minorHAnsi"/>
                <w:b/>
              </w:rPr>
            </w:pPr>
            <w:r>
              <w:rPr>
                <w:rFonts w:cstheme="minorHAnsi"/>
              </w:rPr>
              <w:t>0</w:t>
            </w:r>
            <w:r w:rsidR="00B42F45">
              <w:rPr>
                <w:rFonts w:cstheme="minorHAnsi"/>
              </w:rPr>
              <w:t>1</w:t>
            </w:r>
            <w:r>
              <w:rPr>
                <w:rFonts w:cstheme="minorHAnsi"/>
              </w:rPr>
              <w:t>/2</w:t>
            </w:r>
            <w:r w:rsidR="00B42F45">
              <w:rPr>
                <w:rFonts w:cstheme="minorHAnsi"/>
              </w:rPr>
              <w:t>8</w:t>
            </w:r>
            <w:r>
              <w:rPr>
                <w:rFonts w:cstheme="minorHAnsi"/>
              </w:rPr>
              <w:t>/201</w:t>
            </w:r>
            <w:r w:rsidR="00215DED">
              <w:rPr>
                <w:rFonts w:cstheme="minorHAnsi"/>
              </w:rPr>
              <w:t>5</w:t>
            </w:r>
          </w:p>
        </w:tc>
        <w:tc>
          <w:tcPr>
            <w:tcW w:w="2410" w:type="dxa"/>
          </w:tcPr>
          <w:p w14:paraId="4B4440A0" w14:textId="12176273" w:rsidR="00666717" w:rsidRPr="00353069" w:rsidRDefault="00353069" w:rsidP="00666717">
            <w:pPr>
              <w:rPr>
                <w:rFonts w:cstheme="minorHAnsi"/>
                <w:bCs/>
              </w:rPr>
            </w:pPr>
            <w:proofErr w:type="spellStart"/>
            <w:r w:rsidRPr="00353069">
              <w:rPr>
                <w:rFonts w:cstheme="minorHAnsi"/>
                <w:bCs/>
              </w:rPr>
              <w:t>krva</w:t>
            </w:r>
            <w:proofErr w:type="spellEnd"/>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0C04B4" w14:paraId="7F0DAA0E" w14:textId="77777777" w:rsidTr="00C11902">
        <w:tc>
          <w:tcPr>
            <w:tcW w:w="1555" w:type="dxa"/>
          </w:tcPr>
          <w:p w14:paraId="07990965" w14:textId="5A3906A1" w:rsidR="000C04B4" w:rsidRPr="00DF7BAD" w:rsidRDefault="000C04B4" w:rsidP="00666717">
            <w:pPr>
              <w:rPr>
                <w:rFonts w:cstheme="minorHAnsi"/>
                <w:bCs/>
              </w:rPr>
            </w:pPr>
            <w:r>
              <w:rPr>
                <w:rFonts w:cstheme="minorHAnsi"/>
                <w:bCs/>
              </w:rPr>
              <w:t>02</w:t>
            </w:r>
          </w:p>
        </w:tc>
        <w:tc>
          <w:tcPr>
            <w:tcW w:w="1984" w:type="dxa"/>
          </w:tcPr>
          <w:p w14:paraId="150A267C" w14:textId="08D2E341" w:rsidR="000C04B4" w:rsidRDefault="000C04B4" w:rsidP="00666717">
            <w:pPr>
              <w:rPr>
                <w:rFonts w:cstheme="minorHAnsi"/>
              </w:rPr>
            </w:pPr>
            <w:r>
              <w:rPr>
                <w:rFonts w:cstheme="minorHAnsi"/>
              </w:rPr>
              <w:t>09/26/2022</w:t>
            </w:r>
          </w:p>
        </w:tc>
        <w:tc>
          <w:tcPr>
            <w:tcW w:w="2410" w:type="dxa"/>
          </w:tcPr>
          <w:p w14:paraId="41731EC4" w14:textId="6D5FB17C" w:rsidR="000C04B4" w:rsidRPr="00353069" w:rsidRDefault="000C04B4" w:rsidP="00666717">
            <w:pPr>
              <w:rPr>
                <w:rFonts w:cstheme="minorHAnsi"/>
                <w:bCs/>
              </w:rPr>
            </w:pPr>
            <w:proofErr w:type="spellStart"/>
            <w:r>
              <w:rPr>
                <w:rFonts w:cstheme="minorHAnsi"/>
                <w:bCs/>
              </w:rPr>
              <w:t>krva</w:t>
            </w:r>
            <w:proofErr w:type="spellEnd"/>
          </w:p>
        </w:tc>
        <w:tc>
          <w:tcPr>
            <w:tcW w:w="3401" w:type="dxa"/>
          </w:tcPr>
          <w:p w14:paraId="7870161F" w14:textId="655F17A4" w:rsidR="000C04B4" w:rsidRPr="00356956" w:rsidRDefault="000C04B4"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07DE" w14:textId="77777777" w:rsidR="009D0EAC" w:rsidRDefault="009D0EAC" w:rsidP="000F5BBB">
      <w:pPr>
        <w:spacing w:after="0" w:line="240" w:lineRule="auto"/>
      </w:pPr>
      <w:r>
        <w:separator/>
      </w:r>
    </w:p>
  </w:endnote>
  <w:endnote w:type="continuationSeparator" w:id="0">
    <w:p w14:paraId="66C2621A" w14:textId="77777777" w:rsidR="009D0EAC" w:rsidRDefault="009D0EAC"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8585" w14:textId="77777777" w:rsidR="009D0EAC" w:rsidRDefault="009D0EAC" w:rsidP="000F5BBB">
      <w:pPr>
        <w:spacing w:after="0" w:line="240" w:lineRule="auto"/>
      </w:pPr>
      <w:r>
        <w:separator/>
      </w:r>
    </w:p>
  </w:footnote>
  <w:footnote w:type="continuationSeparator" w:id="0">
    <w:p w14:paraId="74C1020E" w14:textId="77777777" w:rsidR="009D0EAC" w:rsidRDefault="009D0EAC"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078A0D9F"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983F41">
            <w:rPr>
              <w:rFonts w:ascii="Palatino Linotype" w:hAnsi="Palatino Linotype"/>
              <w:b/>
              <w:sz w:val="28"/>
              <w:szCs w:val="32"/>
            </w:rPr>
            <w:t>9</w:t>
          </w:r>
        </w:p>
        <w:p w14:paraId="3C3BB7F2" w14:textId="12BD7ED3" w:rsidR="00834FC3" w:rsidRPr="00082D47" w:rsidRDefault="00983F41"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Conduct of Meetings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491A698"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C63B37">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93D59F2"/>
    <w:multiLevelType w:val="hybridMultilevel"/>
    <w:tmpl w:val="AB5EBEEA"/>
    <w:numStyleLink w:val="ImportedStyle2"/>
  </w:abstractNum>
  <w:num w:numId="1" w16cid:durableId="496464582">
    <w:abstractNumId w:val="4"/>
  </w:num>
  <w:num w:numId="2" w16cid:durableId="1945841075">
    <w:abstractNumId w:val="1"/>
  </w:num>
  <w:num w:numId="3" w16cid:durableId="1916888920">
    <w:abstractNumId w:val="3"/>
  </w:num>
  <w:num w:numId="4" w16cid:durableId="792209108">
    <w:abstractNumId w:val="5"/>
  </w:num>
  <w:num w:numId="5" w16cid:durableId="1750498920">
    <w:abstractNumId w:val="2"/>
  </w:num>
  <w:num w:numId="6" w16cid:durableId="1657563270">
    <w:abstractNumId w:val="0"/>
  </w:num>
  <w:num w:numId="7" w16cid:durableId="400375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06B25"/>
    <w:rsid w:val="00024923"/>
    <w:rsid w:val="00033616"/>
    <w:rsid w:val="00082D47"/>
    <w:rsid w:val="00085131"/>
    <w:rsid w:val="00092E70"/>
    <w:rsid w:val="000A09BF"/>
    <w:rsid w:val="000A3F71"/>
    <w:rsid w:val="000C04B4"/>
    <w:rsid w:val="000C5987"/>
    <w:rsid w:val="000D171D"/>
    <w:rsid w:val="000E5808"/>
    <w:rsid w:val="000E59F4"/>
    <w:rsid w:val="000F5BBB"/>
    <w:rsid w:val="000F5EBF"/>
    <w:rsid w:val="0010674E"/>
    <w:rsid w:val="00116664"/>
    <w:rsid w:val="00116A18"/>
    <w:rsid w:val="00132E35"/>
    <w:rsid w:val="001450EE"/>
    <w:rsid w:val="00157236"/>
    <w:rsid w:val="00192295"/>
    <w:rsid w:val="001B60D7"/>
    <w:rsid w:val="001C3F13"/>
    <w:rsid w:val="00215DED"/>
    <w:rsid w:val="00217820"/>
    <w:rsid w:val="002943B1"/>
    <w:rsid w:val="002E3E33"/>
    <w:rsid w:val="00312F49"/>
    <w:rsid w:val="00313032"/>
    <w:rsid w:val="00315211"/>
    <w:rsid w:val="003319AA"/>
    <w:rsid w:val="0033682D"/>
    <w:rsid w:val="00340A4F"/>
    <w:rsid w:val="00353069"/>
    <w:rsid w:val="00356956"/>
    <w:rsid w:val="00357FA5"/>
    <w:rsid w:val="00390069"/>
    <w:rsid w:val="003A1F35"/>
    <w:rsid w:val="003B4D2C"/>
    <w:rsid w:val="003C7C75"/>
    <w:rsid w:val="003D14FA"/>
    <w:rsid w:val="003D727A"/>
    <w:rsid w:val="003F00C4"/>
    <w:rsid w:val="004035E7"/>
    <w:rsid w:val="00452E21"/>
    <w:rsid w:val="004A17E5"/>
    <w:rsid w:val="004C432A"/>
    <w:rsid w:val="004D6DE0"/>
    <w:rsid w:val="004E1064"/>
    <w:rsid w:val="004E2CFA"/>
    <w:rsid w:val="004E3218"/>
    <w:rsid w:val="004F12C0"/>
    <w:rsid w:val="004F45C4"/>
    <w:rsid w:val="004F5DBC"/>
    <w:rsid w:val="005246F6"/>
    <w:rsid w:val="00525C8C"/>
    <w:rsid w:val="005407B5"/>
    <w:rsid w:val="00541DDF"/>
    <w:rsid w:val="00560037"/>
    <w:rsid w:val="00566273"/>
    <w:rsid w:val="00586530"/>
    <w:rsid w:val="0059759A"/>
    <w:rsid w:val="005D030B"/>
    <w:rsid w:val="005D4827"/>
    <w:rsid w:val="005E3FF0"/>
    <w:rsid w:val="005F1D50"/>
    <w:rsid w:val="00611DCE"/>
    <w:rsid w:val="006425A9"/>
    <w:rsid w:val="0065282C"/>
    <w:rsid w:val="00666717"/>
    <w:rsid w:val="0068276F"/>
    <w:rsid w:val="0068348C"/>
    <w:rsid w:val="0069523A"/>
    <w:rsid w:val="006C1D9A"/>
    <w:rsid w:val="006D5172"/>
    <w:rsid w:val="006E4253"/>
    <w:rsid w:val="006F02EE"/>
    <w:rsid w:val="006F15A2"/>
    <w:rsid w:val="006F6ACC"/>
    <w:rsid w:val="007047E0"/>
    <w:rsid w:val="007412D6"/>
    <w:rsid w:val="0074174A"/>
    <w:rsid w:val="00751091"/>
    <w:rsid w:val="00761F05"/>
    <w:rsid w:val="00770EA5"/>
    <w:rsid w:val="007B3178"/>
    <w:rsid w:val="007C383F"/>
    <w:rsid w:val="007C4477"/>
    <w:rsid w:val="007D7687"/>
    <w:rsid w:val="008252E8"/>
    <w:rsid w:val="00831FB4"/>
    <w:rsid w:val="00834FC3"/>
    <w:rsid w:val="00840935"/>
    <w:rsid w:val="00855626"/>
    <w:rsid w:val="008660BC"/>
    <w:rsid w:val="00884F3C"/>
    <w:rsid w:val="008A15C2"/>
    <w:rsid w:val="008A4E19"/>
    <w:rsid w:val="008C3860"/>
    <w:rsid w:val="008C663C"/>
    <w:rsid w:val="008E342E"/>
    <w:rsid w:val="008E3DCE"/>
    <w:rsid w:val="008F6F8E"/>
    <w:rsid w:val="00900626"/>
    <w:rsid w:val="00910B54"/>
    <w:rsid w:val="00914630"/>
    <w:rsid w:val="009166E7"/>
    <w:rsid w:val="009503C0"/>
    <w:rsid w:val="00951D64"/>
    <w:rsid w:val="00981EC1"/>
    <w:rsid w:val="00983F41"/>
    <w:rsid w:val="00990305"/>
    <w:rsid w:val="009B0584"/>
    <w:rsid w:val="009B22CE"/>
    <w:rsid w:val="009C5AC3"/>
    <w:rsid w:val="009D0EAC"/>
    <w:rsid w:val="00A03505"/>
    <w:rsid w:val="00A06873"/>
    <w:rsid w:val="00A22B7A"/>
    <w:rsid w:val="00A30117"/>
    <w:rsid w:val="00A30DD6"/>
    <w:rsid w:val="00A700F4"/>
    <w:rsid w:val="00A7265A"/>
    <w:rsid w:val="00A92149"/>
    <w:rsid w:val="00A94389"/>
    <w:rsid w:val="00AC30BB"/>
    <w:rsid w:val="00AC5F8C"/>
    <w:rsid w:val="00AD2F87"/>
    <w:rsid w:val="00AD6438"/>
    <w:rsid w:val="00AF0443"/>
    <w:rsid w:val="00B00596"/>
    <w:rsid w:val="00B068A4"/>
    <w:rsid w:val="00B41012"/>
    <w:rsid w:val="00B42F45"/>
    <w:rsid w:val="00B63EB5"/>
    <w:rsid w:val="00B66812"/>
    <w:rsid w:val="00B9157A"/>
    <w:rsid w:val="00BA7253"/>
    <w:rsid w:val="00BC70A2"/>
    <w:rsid w:val="00BE0977"/>
    <w:rsid w:val="00BE3FA1"/>
    <w:rsid w:val="00BF3301"/>
    <w:rsid w:val="00C11902"/>
    <w:rsid w:val="00C209F7"/>
    <w:rsid w:val="00C4125B"/>
    <w:rsid w:val="00C52B74"/>
    <w:rsid w:val="00C63B37"/>
    <w:rsid w:val="00C84E81"/>
    <w:rsid w:val="00C96508"/>
    <w:rsid w:val="00CE5DCB"/>
    <w:rsid w:val="00CF3FE6"/>
    <w:rsid w:val="00D11CB4"/>
    <w:rsid w:val="00D23B5E"/>
    <w:rsid w:val="00D40102"/>
    <w:rsid w:val="00D5142F"/>
    <w:rsid w:val="00D579F2"/>
    <w:rsid w:val="00D66566"/>
    <w:rsid w:val="00D9670D"/>
    <w:rsid w:val="00DD2CFA"/>
    <w:rsid w:val="00DE38D3"/>
    <w:rsid w:val="00DE543B"/>
    <w:rsid w:val="00DF649C"/>
    <w:rsid w:val="00DF7BAD"/>
    <w:rsid w:val="00E03EB6"/>
    <w:rsid w:val="00E0404E"/>
    <w:rsid w:val="00E60A3B"/>
    <w:rsid w:val="00E73F9C"/>
    <w:rsid w:val="00E87BB8"/>
    <w:rsid w:val="00EA1D45"/>
    <w:rsid w:val="00EA2453"/>
    <w:rsid w:val="00EA4783"/>
    <w:rsid w:val="00EC01CB"/>
    <w:rsid w:val="00EC21B8"/>
    <w:rsid w:val="00EC6D8A"/>
    <w:rsid w:val="00ED6F1F"/>
    <w:rsid w:val="00EE4DC5"/>
    <w:rsid w:val="00EF59DF"/>
    <w:rsid w:val="00F85AE6"/>
    <w:rsid w:val="00FB457E"/>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docId w15:val="{94D32202-CCCE-4C47-874C-7FCCBAFB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1030</Words>
  <Characters>5320</Characters>
  <Application>Microsoft Office Word</Application>
  <DocSecurity>0</DocSecurity>
  <Lines>136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2022-09-26T05:47:00Z</dcterms:created>
  <dcterms:modified xsi:type="dcterms:W3CDTF">2024-02-08T11:09:00Z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7dad68c8de44ab323f9c3f17c44c65941add61477be08f6bcb67fd25c629d18a</vt:lpwstr>
  </property>
</Properties>
</file>