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478E7FE9" w14:textId="10F12089" w:rsidR="00157236" w:rsidRPr="003B4D2C" w:rsidRDefault="00157236" w:rsidP="003B4D2C">
      <w:pPr>
        <w:pStyle w:val="FreeForm"/>
        <w:spacing w:line="276" w:lineRule="auto"/>
        <w:jc w:val="both"/>
        <w:rPr>
          <w:rFonts w:asciiTheme="minorHAnsi" w:hAnsiTheme="minorHAnsi" w:cstheme="minorHAnsi"/>
          <w:b/>
        </w:rPr>
      </w:pPr>
      <w:r w:rsidRPr="003B4D2C">
        <w:rPr>
          <w:rFonts w:asciiTheme="minorHAnsi" w:hAnsiTheme="minorHAnsi" w:cstheme="minorHAnsi"/>
          <w:sz w:val="22"/>
          <w:szCs w:val="22"/>
        </w:rPr>
        <w:t xml:space="preserve">When a decision for </w:t>
      </w:r>
      <w:r w:rsidRPr="003B4D2C">
        <w:rPr>
          <w:rFonts w:asciiTheme="minorHAnsi" w:hAnsiTheme="minorHAnsi" w:cstheme="minorHAnsi"/>
          <w:sz w:val="22"/>
          <w:szCs w:val="22"/>
          <w:lang w:val="en-US"/>
        </w:rPr>
        <w:t>early termination of the research has been made,  the well-being and safety of study participants that have already been recruited shall be a primary consideration and the plan for termination shall reflect this concern. Early termination reports shall undergo full review</w:t>
      </w:r>
      <w:r w:rsidR="00A903E4">
        <w:rPr>
          <w:rFonts w:asciiTheme="minorHAnsi" w:hAnsiTheme="minorHAnsi" w:cstheme="minorHAnsi"/>
          <w:sz w:val="22"/>
          <w:szCs w:val="22"/>
          <w:lang w:val="en-US"/>
        </w:rPr>
        <w:t>. Early termination is defined as the decision of the researcher, principal investigator, the institution, or sponsor to end the implementation of  a study before its completion.</w:t>
      </w:r>
    </w:p>
    <w:p w14:paraId="7628E01C" w14:textId="77777777" w:rsidR="003B4D2C" w:rsidRDefault="003B4D2C" w:rsidP="00F85AE6">
      <w:pPr>
        <w:pStyle w:val="NoSpacing"/>
        <w:jc w:val="center"/>
        <w:rPr>
          <w:rFonts w:cstheme="minorHAnsi"/>
          <w:b/>
        </w:rPr>
      </w:pPr>
    </w:p>
    <w:p w14:paraId="6D3886B6" w14:textId="065140A0" w:rsidR="00F85AE6" w:rsidRPr="003B4D2C" w:rsidRDefault="00F85AE6" w:rsidP="00F85AE6">
      <w:pPr>
        <w:pStyle w:val="NoSpacing"/>
        <w:jc w:val="center"/>
        <w:rPr>
          <w:rFonts w:cstheme="minorHAnsi"/>
          <w:b/>
        </w:rPr>
      </w:pPr>
      <w:r w:rsidRPr="003B4D2C">
        <w:rPr>
          <w:rFonts w:cstheme="minorHAnsi"/>
          <w:b/>
        </w:rPr>
        <w:t>Objectives of the SOP</w:t>
      </w:r>
    </w:p>
    <w:p w14:paraId="2C94D826" w14:textId="77777777" w:rsidR="00F85AE6" w:rsidRPr="003B4D2C" w:rsidRDefault="00F85AE6" w:rsidP="00F85AE6">
      <w:pPr>
        <w:pStyle w:val="NoSpacing"/>
        <w:rPr>
          <w:rFonts w:cstheme="minorHAnsi"/>
        </w:rPr>
      </w:pPr>
    </w:p>
    <w:p w14:paraId="0A32F980" w14:textId="42A60F02" w:rsidR="00157236" w:rsidRPr="003B4D2C" w:rsidRDefault="00157236" w:rsidP="00157236">
      <w:pPr>
        <w:pStyle w:val="FreeForm"/>
        <w:spacing w:after="160" w:line="276" w:lineRule="auto"/>
        <w:jc w:val="both"/>
        <w:rPr>
          <w:rFonts w:asciiTheme="minorHAnsi" w:eastAsia="Times" w:hAnsiTheme="minorHAnsi" w:cstheme="minorHAnsi"/>
          <w:sz w:val="22"/>
          <w:szCs w:val="22"/>
        </w:rPr>
      </w:pPr>
      <w:r w:rsidRPr="003B4D2C">
        <w:rPr>
          <w:rFonts w:asciiTheme="minorHAnsi" w:hAnsiTheme="minorHAnsi" w:cstheme="minorHAnsi"/>
          <w:sz w:val="22"/>
          <w:szCs w:val="22"/>
          <w:lang w:val="en-US"/>
        </w:rPr>
        <w:t>Review of early termination reports aims to ensure that the decision takes into consideration the safety and welfare of study participants that have already been recruited and that there is adherence to the principle of fairness for all concerned.</w:t>
      </w:r>
    </w:p>
    <w:p w14:paraId="4E0E24D0" w14:textId="77777777" w:rsidR="007C4477" w:rsidRPr="003B4D2C" w:rsidRDefault="007C4477" w:rsidP="007C4477">
      <w:pPr>
        <w:pStyle w:val="NoSpacing"/>
        <w:jc w:val="both"/>
        <w:rPr>
          <w:rFonts w:cstheme="minorHAnsi"/>
        </w:rPr>
      </w:pPr>
    </w:p>
    <w:p w14:paraId="3AEE443D" w14:textId="751212D2" w:rsidR="00F85AE6" w:rsidRPr="003B4D2C" w:rsidRDefault="00F85AE6" w:rsidP="004A17E5">
      <w:pPr>
        <w:pStyle w:val="NoSpacing"/>
        <w:jc w:val="center"/>
        <w:rPr>
          <w:rFonts w:cstheme="minorHAnsi"/>
          <w:b/>
        </w:rPr>
      </w:pPr>
      <w:r w:rsidRPr="003B4D2C">
        <w:rPr>
          <w:rFonts w:cstheme="minorHAnsi"/>
          <w:b/>
        </w:rPr>
        <w:t>Scope/Applicability</w:t>
      </w:r>
    </w:p>
    <w:p w14:paraId="1DB2DFED" w14:textId="77777777" w:rsidR="00A94389" w:rsidRPr="003B4D2C" w:rsidRDefault="00A94389" w:rsidP="004A17E5">
      <w:pPr>
        <w:pStyle w:val="NoSpacing"/>
        <w:rPr>
          <w:rFonts w:cstheme="minorHAnsi"/>
        </w:rPr>
      </w:pPr>
    </w:p>
    <w:p w14:paraId="7843BEF7" w14:textId="256274D4" w:rsidR="00157236" w:rsidRPr="003B4D2C" w:rsidRDefault="00157236" w:rsidP="00157236">
      <w:pPr>
        <w:pStyle w:val="FreeForm"/>
        <w:spacing w:after="160" w:line="276" w:lineRule="auto"/>
        <w:jc w:val="both"/>
        <w:rPr>
          <w:rFonts w:asciiTheme="minorHAnsi" w:eastAsia="Times" w:hAnsiTheme="minorHAnsi" w:cstheme="minorHAnsi"/>
          <w:sz w:val="22"/>
          <w:szCs w:val="22"/>
        </w:rPr>
      </w:pPr>
      <w:r w:rsidRPr="003B4D2C">
        <w:rPr>
          <w:rFonts w:asciiTheme="minorHAnsi" w:hAnsiTheme="minorHAnsi" w:cstheme="minorHAnsi"/>
          <w:sz w:val="22"/>
          <w:szCs w:val="22"/>
          <w:lang w:val="en-US"/>
        </w:rPr>
        <w:t>This SOP applies to the review of early termination reports.  This SOP begins with the receipt and entry to logbook of the early termination reports and ends with the communication of committee action to the researcher/investigator and updating of the protocol database.</w:t>
      </w:r>
    </w:p>
    <w:p w14:paraId="3C93DC91" w14:textId="77777777" w:rsidR="006C1D9A" w:rsidRDefault="006C1D9A" w:rsidP="0059759A">
      <w:pPr>
        <w:pStyle w:val="NoSpacing"/>
        <w:jc w:val="center"/>
        <w:rPr>
          <w:rFonts w:cstheme="minorHAnsi"/>
          <w:b/>
        </w:rPr>
      </w:pPr>
    </w:p>
    <w:p w14:paraId="333A750E" w14:textId="7A341EF0"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tbl>
      <w:tblPr>
        <w:tblW w:w="9379"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411"/>
        <w:gridCol w:w="1984"/>
        <w:gridCol w:w="1984"/>
      </w:tblGrid>
      <w:tr w:rsidR="003B4D2C" w:rsidRPr="003B4D2C" w14:paraId="615090B9" w14:textId="7A26B38E" w:rsidTr="003B4D2C">
        <w:trPr>
          <w:trHeight w:val="281"/>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308C7B0" w14:textId="77777777" w:rsidR="003B4D2C" w:rsidRPr="003B4D2C" w:rsidRDefault="003B4D2C" w:rsidP="008D29AF">
            <w:pPr>
              <w:pStyle w:val="FreeForm"/>
              <w:spacing w:line="276" w:lineRule="auto"/>
              <w:jc w:val="center"/>
              <w:rPr>
                <w:rFonts w:asciiTheme="minorHAnsi" w:hAnsiTheme="minorHAnsi" w:cstheme="minorHAnsi"/>
                <w:sz w:val="22"/>
                <w:szCs w:val="22"/>
              </w:rPr>
            </w:pPr>
            <w:r w:rsidRPr="003B4D2C">
              <w:rPr>
                <w:rFonts w:asciiTheme="minorHAnsi" w:hAnsiTheme="minorHAnsi" w:cstheme="minorHAnsi"/>
                <w:b/>
                <w:bCs/>
                <w:sz w:val="22"/>
                <w:szCs w:val="22"/>
              </w:rPr>
              <w:t>ACTIVITY</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2E188F9" w14:textId="77777777" w:rsidR="003B4D2C" w:rsidRPr="003B4D2C" w:rsidRDefault="003B4D2C" w:rsidP="008D29AF">
            <w:pPr>
              <w:pStyle w:val="FreeForm"/>
              <w:spacing w:line="276" w:lineRule="auto"/>
              <w:jc w:val="center"/>
              <w:rPr>
                <w:rFonts w:asciiTheme="minorHAnsi" w:hAnsiTheme="minorHAnsi" w:cstheme="minorHAnsi"/>
                <w:sz w:val="22"/>
                <w:szCs w:val="22"/>
              </w:rPr>
            </w:pPr>
            <w:r w:rsidRPr="003B4D2C">
              <w:rPr>
                <w:rFonts w:asciiTheme="minorHAnsi" w:hAnsiTheme="minorHAnsi" w:cstheme="minorHAnsi"/>
                <w:b/>
                <w:bCs/>
                <w:sz w:val="22"/>
                <w:szCs w:val="22"/>
              </w:rPr>
              <w:t>RESPONSIBILITY</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39C34559" w14:textId="23D28B45" w:rsidR="003B4D2C" w:rsidRPr="003B4D2C" w:rsidRDefault="003B4D2C" w:rsidP="008D29AF">
            <w:pPr>
              <w:pStyle w:val="FreeForm"/>
              <w:spacing w:line="276" w:lineRule="auto"/>
              <w:jc w:val="center"/>
              <w:rPr>
                <w:rFonts w:asciiTheme="minorHAnsi" w:hAnsiTheme="minorHAnsi" w:cstheme="minorHAnsi"/>
                <w:b/>
                <w:bCs/>
                <w:sz w:val="22"/>
                <w:szCs w:val="22"/>
              </w:rPr>
            </w:pPr>
            <w:r w:rsidRPr="003B4D2C">
              <w:rPr>
                <w:rFonts w:asciiTheme="minorHAnsi" w:hAnsiTheme="minorHAnsi" w:cstheme="minorHAnsi"/>
                <w:b/>
                <w:bCs/>
                <w:sz w:val="22"/>
                <w:szCs w:val="22"/>
              </w:rPr>
              <w:t>TIMELINE</w:t>
            </w:r>
          </w:p>
        </w:tc>
      </w:tr>
      <w:tr w:rsidR="003B4D2C" w:rsidRPr="003B4D2C" w14:paraId="0E6CE2D4" w14:textId="134848F7" w:rsidTr="003B4D2C">
        <w:trPr>
          <w:trHeight w:val="542"/>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ACCE1FF" w14:textId="3A7CE1B8"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Step 1: Receipt  of the  early termination report and entry into the logbook (SOP</w:t>
            </w:r>
            <w:r>
              <w:rPr>
                <w:rFonts w:asciiTheme="minorHAnsi" w:hAnsiTheme="minorHAnsi" w:cstheme="minorHAnsi"/>
                <w:sz w:val="22"/>
                <w:szCs w:val="22"/>
              </w:rPr>
              <w:t xml:space="preserve"> 23</w:t>
            </w:r>
            <w:r w:rsidRPr="003B4D2C">
              <w:rPr>
                <w:rFonts w:asciiTheme="minorHAnsi" w:hAnsiTheme="minorHAnsi" w:cstheme="minorHAnsi"/>
                <w:sz w:val="22"/>
                <w:szCs w:val="22"/>
              </w:rPr>
              <w:t xml:space="preserve"> Management of Active Files)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106D6D7" w14:textId="77777777"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5723F935" w14:textId="2DED6032" w:rsidR="003B4D2C" w:rsidRPr="003B4D2C" w:rsidRDefault="00926B91" w:rsidP="008D29A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3B4D2C" w:rsidRPr="003B4D2C" w14:paraId="1C574E6E" w14:textId="1A1C390D" w:rsidTr="003B4D2C">
        <w:trPr>
          <w:trHeight w:val="193"/>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246A800" w14:textId="77777777"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Step 2: Retrieval of pertinent protocol file</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BA7B854" w14:textId="77777777"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47C5768C" w14:textId="33E50DB5" w:rsidR="003B4D2C" w:rsidRPr="003B4D2C" w:rsidRDefault="00926B91" w:rsidP="008D29A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3B4D2C" w:rsidRPr="003B4D2C" w14:paraId="33468420" w14:textId="7D61B5FE" w:rsidTr="003B4D2C">
        <w:trPr>
          <w:trHeight w:val="299"/>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688955" w14:textId="77777777"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Step 3: Notification of Chair and Primary Reviewers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16964A3" w14:textId="77777777"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288FC903" w14:textId="62B9AFA4" w:rsidR="003B4D2C" w:rsidRPr="003B4D2C" w:rsidRDefault="00926B91" w:rsidP="008D29A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3B4D2C" w:rsidRPr="003B4D2C" w14:paraId="030354D5" w14:textId="2F1F35C2" w:rsidTr="003B4D2C">
        <w:trPr>
          <w:trHeight w:val="294"/>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347A155" w14:textId="62E08EFD"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Step 4: Full review (SOP on Full Review (SOP#</w:t>
            </w:r>
            <w:r>
              <w:rPr>
                <w:rFonts w:asciiTheme="minorHAnsi" w:hAnsiTheme="minorHAnsi" w:cstheme="minorHAnsi"/>
                <w:sz w:val="22"/>
                <w:szCs w:val="22"/>
              </w:rPr>
              <w:t xml:space="preserve"> 05</w:t>
            </w:r>
            <w:r w:rsidRPr="003B4D2C">
              <w:rPr>
                <w:rFonts w:asciiTheme="minorHAnsi" w:hAnsiTheme="minorHAnsi" w:cstheme="minorHAnsi"/>
                <w:sz w:val="22"/>
                <w:szCs w:val="22"/>
              </w:rPr>
              <w:t>))</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E050E52" w14:textId="77777777"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 xml:space="preserve">Primary Reviewers </w:t>
            </w:r>
            <w:r w:rsidRPr="003B4D2C">
              <w:rPr>
                <w:rFonts w:asciiTheme="minorHAnsi" w:hAnsiTheme="minorHAnsi" w:cstheme="minorHAnsi"/>
                <w:sz w:val="22"/>
                <w:szCs w:val="22"/>
              </w:rPr>
              <w:lastRenderedPageBreak/>
              <w:t>and Members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5B5E19C2" w14:textId="0D2925F8" w:rsidR="003B4D2C" w:rsidRPr="003B4D2C" w:rsidRDefault="00926B91" w:rsidP="008D29A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7-14 days</w:t>
            </w:r>
          </w:p>
        </w:tc>
      </w:tr>
      <w:tr w:rsidR="003B4D2C" w:rsidRPr="003B4D2C" w14:paraId="232BF45B" w14:textId="440F0FDA" w:rsidTr="003B4D2C">
        <w:trPr>
          <w:trHeight w:val="803"/>
        </w:trPr>
        <w:tc>
          <w:tcPr>
            <w:tcW w:w="5411"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1DA1837" w14:textId="3DD50480"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 xml:space="preserve">Step 5: Communication of committee action (SOP## Communicating REC Decisions) and update of the protocol database (SOP </w:t>
            </w:r>
            <w:r>
              <w:rPr>
                <w:rFonts w:asciiTheme="minorHAnsi" w:hAnsiTheme="minorHAnsi" w:cstheme="minorHAnsi"/>
                <w:sz w:val="22"/>
                <w:szCs w:val="22"/>
              </w:rPr>
              <w:t>23</w:t>
            </w:r>
            <w:r w:rsidRPr="003B4D2C">
              <w:rPr>
                <w:rFonts w:asciiTheme="minorHAnsi" w:hAnsiTheme="minorHAnsi" w:cstheme="minorHAnsi"/>
                <w:sz w:val="22"/>
                <w:szCs w:val="22"/>
              </w:rPr>
              <w:t xml:space="preserve"> Management of Active Files)</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6DFCF9A" w14:textId="77777777" w:rsidR="003B4D2C" w:rsidRPr="003B4D2C" w:rsidRDefault="003B4D2C" w:rsidP="008D29AF">
            <w:pPr>
              <w:pStyle w:val="FreeForm"/>
              <w:spacing w:line="276" w:lineRule="auto"/>
              <w:jc w:val="both"/>
              <w:rPr>
                <w:rFonts w:asciiTheme="minorHAnsi" w:hAnsiTheme="minorHAnsi" w:cstheme="minorHAnsi"/>
                <w:sz w:val="22"/>
                <w:szCs w:val="22"/>
              </w:rPr>
            </w:pPr>
            <w:r w:rsidRPr="003B4D2C">
              <w:rPr>
                <w:rFonts w:asciiTheme="minorHAnsi" w:hAnsiTheme="minorHAnsi" w:cstheme="minorHAnsi"/>
                <w:sz w:val="22"/>
                <w:szCs w:val="22"/>
              </w:rPr>
              <w:t>Chair, Staff</w:t>
            </w:r>
          </w:p>
        </w:tc>
        <w:tc>
          <w:tcPr>
            <w:tcW w:w="1984" w:type="dxa"/>
            <w:tcBorders>
              <w:top w:val="single" w:sz="8" w:space="0" w:color="000000"/>
              <w:left w:val="single" w:sz="8" w:space="0" w:color="000000"/>
              <w:bottom w:val="single" w:sz="8" w:space="0" w:color="000000"/>
              <w:right w:val="single" w:sz="8" w:space="0" w:color="000000"/>
            </w:tcBorders>
            <w:shd w:val="clear" w:color="auto" w:fill="FEFFFF"/>
          </w:tcPr>
          <w:p w14:paraId="10DFF903" w14:textId="29FA41D1" w:rsidR="003B4D2C" w:rsidRPr="003B4D2C" w:rsidRDefault="00926B91" w:rsidP="008D29AF">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bl>
    <w:p w14:paraId="68BF19A1" w14:textId="77777777" w:rsidR="00092E70" w:rsidRDefault="00092E70" w:rsidP="0059759A">
      <w:pPr>
        <w:pStyle w:val="NoSpacing"/>
        <w:jc w:val="center"/>
        <w:rPr>
          <w:rFonts w:cstheme="minorHAnsi"/>
          <w:b/>
        </w:rPr>
      </w:pPr>
    </w:p>
    <w:p w14:paraId="2BA94882" w14:textId="21C951F2" w:rsidR="000F5BBB" w:rsidRDefault="000F5BBB" w:rsidP="00F85AE6">
      <w:pPr>
        <w:pStyle w:val="NoSpacing"/>
        <w:jc w:val="center"/>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3EEA35DF" w14:textId="1A62DE16" w:rsidR="00157236" w:rsidRDefault="00157236" w:rsidP="00157236">
      <w:pPr>
        <w:pStyle w:val="FreeForm"/>
        <w:spacing w:after="160" w:line="276" w:lineRule="auto"/>
        <w:jc w:val="both"/>
        <w:rPr>
          <w:rFonts w:asciiTheme="minorHAnsi" w:hAnsiTheme="minorHAnsi" w:cstheme="minorHAnsi"/>
          <w:sz w:val="22"/>
          <w:szCs w:val="22"/>
          <w:lang w:val="en-US"/>
        </w:rPr>
      </w:pPr>
      <w:r w:rsidRPr="003B4D2C">
        <w:rPr>
          <w:rFonts w:asciiTheme="minorHAnsi" w:hAnsiTheme="minorHAnsi" w:cstheme="minorHAnsi"/>
          <w:sz w:val="22"/>
          <w:szCs w:val="22"/>
        </w:rPr>
        <w:t xml:space="preserve">Step 1 - </w:t>
      </w:r>
      <w:r w:rsidRPr="003B4D2C">
        <w:rPr>
          <w:rFonts w:asciiTheme="minorHAnsi" w:hAnsiTheme="minorHAnsi" w:cstheme="minorHAnsi"/>
          <w:sz w:val="22"/>
          <w:szCs w:val="22"/>
          <w:lang w:val="en-US"/>
        </w:rPr>
        <w:t>Receipt and entry to the logbook and  database of early termination reports, for review</w:t>
      </w:r>
      <w:r w:rsidRPr="003B4D2C">
        <w:rPr>
          <w:rFonts w:asciiTheme="minorHAnsi" w:hAnsiTheme="minorHAnsi" w:cstheme="minorHAnsi"/>
          <w:sz w:val="22"/>
          <w:szCs w:val="22"/>
        </w:rPr>
        <w:t xml:space="preserve">: </w:t>
      </w:r>
      <w:r w:rsidRPr="003B4D2C">
        <w:rPr>
          <w:rFonts w:asciiTheme="minorHAnsi" w:hAnsiTheme="minorHAnsi" w:cstheme="minorHAnsi"/>
          <w:sz w:val="22"/>
          <w:szCs w:val="22"/>
          <w:lang w:val="en-US"/>
        </w:rPr>
        <w:t xml:space="preserve">The REC staff receives the early termination report and enters the appropriate information into the log book (SOP </w:t>
      </w:r>
      <w:r w:rsidR="003B4D2C">
        <w:rPr>
          <w:rFonts w:asciiTheme="minorHAnsi" w:hAnsiTheme="minorHAnsi" w:cstheme="minorHAnsi"/>
          <w:sz w:val="22"/>
          <w:szCs w:val="22"/>
          <w:lang w:val="en-US"/>
        </w:rPr>
        <w:t>23</w:t>
      </w:r>
      <w:r w:rsidRPr="003B4D2C">
        <w:rPr>
          <w:rFonts w:asciiTheme="minorHAnsi" w:hAnsiTheme="minorHAnsi" w:cstheme="minorHAnsi"/>
          <w:sz w:val="22"/>
          <w:szCs w:val="22"/>
          <w:lang w:val="en-US"/>
        </w:rPr>
        <w:t xml:space="preserve"> Management of Active Files)</w:t>
      </w:r>
    </w:p>
    <w:p w14:paraId="4B387158" w14:textId="43867E90" w:rsidR="00A903E4" w:rsidRPr="00A903E4" w:rsidRDefault="00A903E4" w:rsidP="00157236">
      <w:pPr>
        <w:pStyle w:val="FreeForm"/>
        <w:spacing w:after="160" w:line="276" w:lineRule="auto"/>
        <w:jc w:val="both"/>
        <w:rPr>
          <w:rFonts w:asciiTheme="minorHAnsi" w:eastAsia="Times" w:hAnsiTheme="minorHAnsi" w:cstheme="minorHAnsi"/>
          <w:sz w:val="22"/>
          <w:szCs w:val="22"/>
          <w:highlight w:val="yellow"/>
        </w:rPr>
      </w:pPr>
      <w:r w:rsidRPr="00A903E4">
        <w:rPr>
          <w:rFonts w:asciiTheme="minorHAnsi" w:eastAsia="Times" w:hAnsiTheme="minorHAnsi" w:cstheme="minorHAnsi"/>
          <w:sz w:val="22"/>
          <w:szCs w:val="22"/>
          <w:highlight w:val="yellow"/>
        </w:rPr>
        <w:t>Early termination - Defined as the decision of the researcher, principal investigator, the institution, or sponsor to end the implementation of  a study before its completion.</w:t>
      </w:r>
    </w:p>
    <w:p w14:paraId="63065F2B" w14:textId="09279F96" w:rsidR="00A903E4" w:rsidRPr="003B4D2C" w:rsidRDefault="00A903E4" w:rsidP="00157236">
      <w:pPr>
        <w:pStyle w:val="FreeForm"/>
        <w:spacing w:after="160" w:line="276" w:lineRule="auto"/>
        <w:jc w:val="both"/>
        <w:rPr>
          <w:rFonts w:asciiTheme="minorHAnsi" w:eastAsia="Times" w:hAnsiTheme="minorHAnsi" w:cstheme="minorHAnsi"/>
          <w:sz w:val="22"/>
          <w:szCs w:val="22"/>
        </w:rPr>
      </w:pPr>
      <w:r w:rsidRPr="00A903E4">
        <w:rPr>
          <w:rFonts w:asciiTheme="minorHAnsi" w:eastAsia="Times" w:hAnsiTheme="minorHAnsi" w:cstheme="minorHAnsi"/>
          <w:sz w:val="22"/>
          <w:szCs w:val="22"/>
          <w:highlight w:val="yellow"/>
        </w:rPr>
        <w:t>REC can decide to terminate the study early.</w:t>
      </w:r>
    </w:p>
    <w:p w14:paraId="3A21760B" w14:textId="5DEEB1FB" w:rsidR="00157236" w:rsidRPr="003B4D2C" w:rsidRDefault="00157236" w:rsidP="00157236">
      <w:pPr>
        <w:pStyle w:val="FreeForm"/>
        <w:spacing w:after="160" w:line="276" w:lineRule="auto"/>
        <w:jc w:val="both"/>
        <w:rPr>
          <w:rFonts w:asciiTheme="minorHAnsi" w:eastAsia="Times" w:hAnsiTheme="minorHAnsi" w:cstheme="minorHAnsi"/>
          <w:sz w:val="22"/>
          <w:szCs w:val="22"/>
        </w:rPr>
      </w:pPr>
      <w:r w:rsidRPr="003B4D2C">
        <w:rPr>
          <w:rFonts w:asciiTheme="minorHAnsi" w:hAnsiTheme="minorHAnsi" w:cstheme="minorHAnsi"/>
          <w:sz w:val="22"/>
          <w:szCs w:val="22"/>
          <w:lang w:val="en-US"/>
        </w:rPr>
        <w:t>Step 2 - Retrieval of pertinent protocol file: The REC Staff retrieves the protocol folder and summarizes the documents that have been submitted.</w:t>
      </w:r>
      <w:r w:rsidRPr="003B4D2C">
        <w:rPr>
          <w:rFonts w:asciiTheme="minorHAnsi" w:hAnsiTheme="minorHAnsi" w:cstheme="minorHAnsi"/>
          <w:sz w:val="22"/>
          <w:szCs w:val="22"/>
        </w:rPr>
        <w:t xml:space="preserve"> </w:t>
      </w:r>
    </w:p>
    <w:p w14:paraId="30BA4928" w14:textId="292EC8AB" w:rsidR="00157236" w:rsidRPr="003B4D2C" w:rsidRDefault="00157236" w:rsidP="00157236">
      <w:pPr>
        <w:pStyle w:val="FreeForm"/>
        <w:spacing w:after="160" w:line="276" w:lineRule="auto"/>
        <w:jc w:val="both"/>
        <w:rPr>
          <w:rFonts w:asciiTheme="minorHAnsi" w:eastAsia="Times" w:hAnsiTheme="minorHAnsi" w:cstheme="minorHAnsi"/>
          <w:sz w:val="22"/>
          <w:szCs w:val="22"/>
        </w:rPr>
      </w:pPr>
      <w:r w:rsidRPr="003B4D2C">
        <w:rPr>
          <w:rFonts w:asciiTheme="minorHAnsi" w:hAnsiTheme="minorHAnsi" w:cstheme="minorHAnsi"/>
          <w:sz w:val="22"/>
          <w:szCs w:val="22"/>
          <w:lang w:val="en-US"/>
        </w:rPr>
        <w:t xml:space="preserve">Step 3 - Notification of Chair and Primary Reviewers: The REC staff informs the Chair and the primary reviewers by email about the report and the summary of documents that have been submitted. S/he waits for further instructions. </w:t>
      </w:r>
    </w:p>
    <w:p w14:paraId="7595501B" w14:textId="3F15017A" w:rsidR="00157236" w:rsidRPr="003B4D2C" w:rsidRDefault="00157236" w:rsidP="00157236">
      <w:pPr>
        <w:pStyle w:val="FreeForm"/>
        <w:spacing w:after="160" w:line="276" w:lineRule="auto"/>
        <w:jc w:val="both"/>
        <w:rPr>
          <w:rFonts w:asciiTheme="minorHAnsi" w:eastAsia="Times" w:hAnsiTheme="minorHAnsi" w:cstheme="minorHAnsi"/>
          <w:sz w:val="22"/>
          <w:szCs w:val="22"/>
        </w:rPr>
      </w:pPr>
      <w:r w:rsidRPr="003B4D2C">
        <w:rPr>
          <w:rFonts w:asciiTheme="minorHAnsi" w:hAnsiTheme="minorHAnsi" w:cstheme="minorHAnsi"/>
          <w:sz w:val="22"/>
          <w:szCs w:val="22"/>
          <w:lang w:val="en-US"/>
        </w:rPr>
        <w:t>Step 4 - Full review</w:t>
      </w:r>
      <w:r w:rsidRPr="003B4D2C">
        <w:rPr>
          <w:rFonts w:asciiTheme="minorHAnsi" w:hAnsiTheme="minorHAnsi" w:cstheme="minorHAnsi"/>
          <w:sz w:val="22"/>
          <w:szCs w:val="22"/>
        </w:rPr>
        <w:t xml:space="preserve">: </w:t>
      </w:r>
      <w:r w:rsidRPr="003B4D2C">
        <w:rPr>
          <w:rFonts w:asciiTheme="minorHAnsi" w:hAnsiTheme="minorHAnsi" w:cstheme="minorHAnsi"/>
          <w:sz w:val="22"/>
          <w:szCs w:val="22"/>
          <w:lang w:val="en-US"/>
        </w:rPr>
        <w:t xml:space="preserve">The Chair instructs the staff to include the report in the agenda of the next meeting and to ensure that the primary reviewers are given the necessary documents so that s/he can prepare the presentation during the next meeting (SOP </w:t>
      </w:r>
      <w:r w:rsidR="003B4D2C">
        <w:rPr>
          <w:rFonts w:asciiTheme="minorHAnsi" w:hAnsiTheme="minorHAnsi" w:cstheme="minorHAnsi"/>
          <w:sz w:val="22"/>
          <w:szCs w:val="22"/>
          <w:lang w:val="en-US"/>
        </w:rPr>
        <w:t>05</w:t>
      </w:r>
      <w:r w:rsidRPr="003B4D2C">
        <w:rPr>
          <w:rFonts w:asciiTheme="minorHAnsi" w:hAnsiTheme="minorHAnsi" w:cstheme="minorHAnsi"/>
          <w:sz w:val="22"/>
          <w:szCs w:val="22"/>
          <w:lang w:val="en-US"/>
        </w:rPr>
        <w:t xml:space="preserve"> Full Review). The review should ensure implication of the early termination on the rights, safety, and welfare of the study participants, in the form of a termination package with a set of procedures. The procedures may include adapting specific provisions for continued access to protective mechanisms and information by the study participants. </w:t>
      </w:r>
    </w:p>
    <w:p w14:paraId="7C2F0E12" w14:textId="035109F3" w:rsidR="00157236" w:rsidRPr="003B4D2C" w:rsidRDefault="00157236" w:rsidP="00157236">
      <w:pPr>
        <w:pStyle w:val="FreeForm"/>
        <w:spacing w:after="160" w:line="276" w:lineRule="auto"/>
        <w:jc w:val="both"/>
        <w:rPr>
          <w:rFonts w:asciiTheme="minorHAnsi" w:eastAsia="Times" w:hAnsiTheme="minorHAnsi" w:cstheme="minorHAnsi"/>
          <w:sz w:val="22"/>
          <w:szCs w:val="22"/>
        </w:rPr>
      </w:pPr>
      <w:r w:rsidRPr="003B4D2C">
        <w:rPr>
          <w:rFonts w:asciiTheme="minorHAnsi" w:hAnsiTheme="minorHAnsi" w:cstheme="minorHAnsi"/>
          <w:sz w:val="22"/>
          <w:szCs w:val="22"/>
          <w:lang w:val="en-US"/>
        </w:rPr>
        <w:t>Step 5 - Communication of committee action and Update of the Protocol Database</w:t>
      </w:r>
      <w:r w:rsidRPr="003B4D2C">
        <w:rPr>
          <w:rFonts w:asciiTheme="minorHAnsi" w:hAnsiTheme="minorHAnsi" w:cstheme="minorHAnsi"/>
          <w:sz w:val="22"/>
          <w:szCs w:val="22"/>
        </w:rPr>
        <w:t xml:space="preserve">: </w:t>
      </w:r>
      <w:r w:rsidRPr="003B4D2C">
        <w:rPr>
          <w:rFonts w:asciiTheme="minorHAnsi" w:hAnsiTheme="minorHAnsi" w:cstheme="minorHAnsi"/>
          <w:sz w:val="22"/>
          <w:szCs w:val="22"/>
          <w:lang w:val="en-US"/>
        </w:rPr>
        <w:t xml:space="preserve">The REC considers the following possible decisions in the review of an early termination report:  acceptance of the decision with no further action; request for additional information; or requirement for further action. The staff prepares a draft of the committee decision based on the minutes of the meeting (SOP </w:t>
      </w:r>
      <w:r w:rsidR="003B4D2C">
        <w:rPr>
          <w:rFonts w:asciiTheme="minorHAnsi" w:hAnsiTheme="minorHAnsi" w:cstheme="minorHAnsi"/>
          <w:sz w:val="22"/>
          <w:szCs w:val="22"/>
          <w:lang w:val="en-US"/>
        </w:rPr>
        <w:t>21</w:t>
      </w:r>
      <w:r w:rsidRPr="003B4D2C">
        <w:rPr>
          <w:rFonts w:asciiTheme="minorHAnsi" w:hAnsiTheme="minorHAnsi" w:cstheme="minorHAnsi"/>
          <w:sz w:val="22"/>
          <w:szCs w:val="22"/>
          <w:lang w:val="en-US"/>
        </w:rPr>
        <w:t xml:space="preserve"> Communicating REC Decisions) for signature of the Chair. S/he updates the protocol database accordingly.  </w:t>
      </w:r>
    </w:p>
    <w:p w14:paraId="5E298EF7" w14:textId="46911517" w:rsidR="00951D64" w:rsidRPr="00D40102"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408D2601" w14:textId="25E17850" w:rsidR="00157236" w:rsidRPr="0013614F" w:rsidRDefault="0013614F" w:rsidP="0013614F">
      <w:pPr>
        <w:pStyle w:val="FreeForm"/>
        <w:spacing w:after="160" w:line="276" w:lineRule="auto"/>
        <w:ind w:left="720"/>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SOP 14 </w:t>
      </w:r>
      <w:r w:rsidR="00157236" w:rsidRPr="003B4D2C">
        <w:rPr>
          <w:rFonts w:asciiTheme="minorHAnsi" w:hAnsiTheme="minorHAnsi" w:cstheme="minorHAnsi"/>
          <w:sz w:val="22"/>
          <w:szCs w:val="22"/>
          <w:lang w:val="en-US"/>
        </w:rPr>
        <w:t xml:space="preserve">Form </w:t>
      </w:r>
      <w:r w:rsidR="003B4D2C" w:rsidRPr="003B4D2C">
        <w:rPr>
          <w:rFonts w:asciiTheme="minorHAnsi" w:hAnsiTheme="minorHAnsi" w:cstheme="minorHAnsi"/>
          <w:sz w:val="22"/>
          <w:szCs w:val="22"/>
          <w:lang w:val="en-US"/>
        </w:rPr>
        <w:t>022</w:t>
      </w:r>
      <w:r w:rsidR="00157236" w:rsidRPr="003B4D2C">
        <w:rPr>
          <w:rFonts w:asciiTheme="minorHAnsi" w:hAnsiTheme="minorHAnsi" w:cstheme="minorHAnsi"/>
          <w:sz w:val="22"/>
          <w:szCs w:val="22"/>
          <w:lang w:val="en-US"/>
        </w:rPr>
        <w:t xml:space="preserve"> Early Termination Report Form</w:t>
      </w:r>
    </w:p>
    <w:p w14:paraId="01F7DBB2" w14:textId="7F76A25A" w:rsidR="00157236" w:rsidRPr="003B4D2C" w:rsidRDefault="00157236" w:rsidP="00157236">
      <w:pPr>
        <w:pStyle w:val="FreeForm"/>
        <w:spacing w:after="160" w:line="276" w:lineRule="auto"/>
        <w:ind w:left="720"/>
        <w:jc w:val="both"/>
        <w:rPr>
          <w:rFonts w:asciiTheme="minorHAnsi" w:eastAsia="Times" w:hAnsiTheme="minorHAnsi" w:cstheme="minorHAnsi"/>
          <w:sz w:val="22"/>
          <w:szCs w:val="22"/>
        </w:rPr>
      </w:pPr>
      <w:r w:rsidRPr="003B4D2C">
        <w:rPr>
          <w:rFonts w:asciiTheme="minorHAnsi" w:hAnsiTheme="minorHAnsi" w:cstheme="minorHAnsi"/>
          <w:sz w:val="22"/>
          <w:szCs w:val="22"/>
          <w:lang w:val="en-US"/>
        </w:rPr>
        <w:t xml:space="preserve">Form </w:t>
      </w:r>
      <w:r w:rsidR="003B4D2C" w:rsidRPr="003B4D2C">
        <w:rPr>
          <w:rFonts w:asciiTheme="minorHAnsi" w:hAnsiTheme="minorHAnsi" w:cstheme="minorHAnsi"/>
          <w:sz w:val="22"/>
          <w:szCs w:val="22"/>
          <w:lang w:val="en-US"/>
        </w:rPr>
        <w:t>008</w:t>
      </w:r>
      <w:r w:rsidRPr="003B4D2C">
        <w:rPr>
          <w:rFonts w:asciiTheme="minorHAnsi" w:hAnsiTheme="minorHAnsi" w:cstheme="minorHAnsi"/>
          <w:sz w:val="22"/>
          <w:szCs w:val="22"/>
          <w:lang w:val="en-US"/>
        </w:rPr>
        <w:t xml:space="preserve"> Decision Letter Template</w:t>
      </w:r>
    </w:p>
    <w:p w14:paraId="1CB3DB49" w14:textId="77777777" w:rsidR="00157236" w:rsidRPr="003B4D2C" w:rsidRDefault="00157236" w:rsidP="00157236">
      <w:pPr>
        <w:pStyle w:val="FreeForm"/>
        <w:spacing w:after="160" w:line="276" w:lineRule="auto"/>
        <w:ind w:left="720"/>
        <w:jc w:val="both"/>
        <w:rPr>
          <w:rFonts w:asciiTheme="minorHAnsi" w:eastAsia="Times" w:hAnsiTheme="minorHAnsi" w:cstheme="minorHAnsi"/>
          <w:sz w:val="22"/>
          <w:szCs w:val="22"/>
        </w:rPr>
      </w:pPr>
      <w:r w:rsidRPr="003B4D2C">
        <w:rPr>
          <w:rFonts w:asciiTheme="minorHAnsi" w:hAnsiTheme="minorHAnsi" w:cstheme="minorHAnsi"/>
          <w:sz w:val="22"/>
          <w:szCs w:val="22"/>
          <w:lang w:val="nl-NL"/>
        </w:rPr>
        <w:t>Logbook</w:t>
      </w:r>
    </w:p>
    <w:p w14:paraId="3AF04C06" w14:textId="77777777" w:rsidR="00157236" w:rsidRPr="003B4D2C" w:rsidRDefault="00157236" w:rsidP="00157236">
      <w:pPr>
        <w:pStyle w:val="FreeForm"/>
        <w:spacing w:after="160" w:line="276" w:lineRule="auto"/>
        <w:ind w:left="720"/>
        <w:jc w:val="both"/>
        <w:rPr>
          <w:rFonts w:asciiTheme="minorHAnsi" w:hAnsiTheme="minorHAnsi" w:cstheme="minorHAnsi"/>
          <w:sz w:val="22"/>
          <w:szCs w:val="22"/>
          <w:lang w:val="nl-NL"/>
        </w:rPr>
      </w:pPr>
      <w:r w:rsidRPr="003B4D2C">
        <w:rPr>
          <w:rFonts w:asciiTheme="minorHAnsi" w:hAnsiTheme="minorHAnsi" w:cstheme="minorHAnsi"/>
          <w:sz w:val="22"/>
          <w:szCs w:val="22"/>
          <w:lang w:val="nl-NL"/>
        </w:rPr>
        <w:t>Database</w:t>
      </w:r>
    </w:p>
    <w:p w14:paraId="719FDAF0" w14:textId="77777777" w:rsidR="00003139" w:rsidRPr="007C4477" w:rsidRDefault="00003139" w:rsidP="007C4477">
      <w:pPr>
        <w:spacing w:after="0" w:line="240" w:lineRule="auto"/>
        <w:ind w:firstLine="720"/>
        <w:rPr>
          <w:rFonts w:eastAsia="MS Mincho" w:cstheme="minorHAns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8D29AF">
        <w:tc>
          <w:tcPr>
            <w:tcW w:w="1555" w:type="dxa"/>
          </w:tcPr>
          <w:p w14:paraId="3A1D4721" w14:textId="77777777" w:rsidR="00951D64" w:rsidRDefault="00951D64" w:rsidP="008D29AF">
            <w:pPr>
              <w:rPr>
                <w:rFonts w:cstheme="minorHAnsi"/>
                <w:b/>
              </w:rPr>
            </w:pPr>
            <w:r>
              <w:rPr>
                <w:rFonts w:cstheme="minorHAnsi"/>
                <w:b/>
              </w:rPr>
              <w:t>Version No.</w:t>
            </w:r>
          </w:p>
        </w:tc>
        <w:tc>
          <w:tcPr>
            <w:tcW w:w="1984" w:type="dxa"/>
          </w:tcPr>
          <w:p w14:paraId="103E8778" w14:textId="77777777" w:rsidR="00951D64" w:rsidRDefault="00951D64" w:rsidP="008D29AF">
            <w:pPr>
              <w:rPr>
                <w:rFonts w:cstheme="minorHAnsi"/>
                <w:b/>
              </w:rPr>
            </w:pPr>
            <w:r>
              <w:rPr>
                <w:rFonts w:cstheme="minorHAnsi"/>
                <w:b/>
              </w:rPr>
              <w:t>Date</w:t>
            </w:r>
          </w:p>
        </w:tc>
        <w:tc>
          <w:tcPr>
            <w:tcW w:w="2410" w:type="dxa"/>
          </w:tcPr>
          <w:p w14:paraId="49DFCF33" w14:textId="77777777" w:rsidR="00951D64" w:rsidRDefault="00951D64" w:rsidP="008D29AF">
            <w:pPr>
              <w:rPr>
                <w:rFonts w:cstheme="minorHAnsi"/>
                <w:b/>
              </w:rPr>
            </w:pPr>
            <w:r>
              <w:rPr>
                <w:rFonts w:cstheme="minorHAnsi"/>
                <w:b/>
              </w:rPr>
              <w:t>Authors</w:t>
            </w:r>
          </w:p>
        </w:tc>
        <w:tc>
          <w:tcPr>
            <w:tcW w:w="3401" w:type="dxa"/>
          </w:tcPr>
          <w:p w14:paraId="2A1CB1BE" w14:textId="77777777" w:rsidR="00951D64" w:rsidRDefault="00951D64" w:rsidP="008D29AF">
            <w:pPr>
              <w:rPr>
                <w:rFonts w:cstheme="minorHAnsi"/>
                <w:b/>
              </w:rPr>
            </w:pPr>
            <w:r>
              <w:rPr>
                <w:rFonts w:cstheme="minorHAnsi"/>
                <w:b/>
              </w:rPr>
              <w:t>Main Change</w:t>
            </w:r>
          </w:p>
        </w:tc>
      </w:tr>
      <w:tr w:rsidR="00666717" w14:paraId="2D8F1BD0" w14:textId="77777777" w:rsidTr="008D29AF">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5C271160" w:rsidR="00666717" w:rsidRDefault="00B63EB5" w:rsidP="00666717">
            <w:pPr>
              <w:rPr>
                <w:rFonts w:cstheme="minorHAnsi"/>
                <w:b/>
              </w:rPr>
            </w:pPr>
            <w:r>
              <w:rPr>
                <w:rFonts w:cstheme="minorHAnsi"/>
              </w:rPr>
              <w:t>01/28/2015</w:t>
            </w:r>
          </w:p>
        </w:tc>
        <w:tc>
          <w:tcPr>
            <w:tcW w:w="2410" w:type="dxa"/>
          </w:tcPr>
          <w:p w14:paraId="4B4440A0" w14:textId="12176273" w:rsidR="00666717" w:rsidRPr="00353069" w:rsidRDefault="00353069" w:rsidP="00666717">
            <w:pPr>
              <w:rPr>
                <w:rFonts w:cstheme="minorHAnsi"/>
                <w:bCs/>
              </w:rPr>
            </w:pPr>
            <w:r w:rsidRPr="00353069">
              <w:rPr>
                <w:rFonts w:cstheme="minorHAnsi"/>
                <w:bCs/>
              </w:rPr>
              <w:t>krva</w:t>
            </w:r>
          </w:p>
        </w:tc>
        <w:tc>
          <w:tcPr>
            <w:tcW w:w="3401" w:type="dxa"/>
          </w:tcPr>
          <w:p w14:paraId="147026D9" w14:textId="750DA4AB" w:rsidR="00666717" w:rsidRPr="00356956" w:rsidRDefault="00356956" w:rsidP="00666717">
            <w:pPr>
              <w:rPr>
                <w:rFonts w:cstheme="minorHAnsi"/>
                <w:bCs/>
              </w:rPr>
            </w:pPr>
            <w:r w:rsidRPr="00356956">
              <w:rPr>
                <w:rFonts w:cstheme="minorHAnsi"/>
                <w:bCs/>
              </w:rPr>
              <w:t xml:space="preserve">Creation </w:t>
            </w:r>
            <w:r w:rsidR="00B63EB5">
              <w:rPr>
                <w:rFonts w:cstheme="minorHAnsi"/>
                <w:bCs/>
              </w:rPr>
              <w:t xml:space="preserve">of </w:t>
            </w:r>
            <w:r w:rsidRPr="00356956">
              <w:rPr>
                <w:rFonts w:cstheme="minorHAnsi"/>
                <w:bCs/>
              </w:rPr>
              <w:t>SOP</w:t>
            </w:r>
          </w:p>
        </w:tc>
      </w:tr>
      <w:tr w:rsidR="003B4D2C" w14:paraId="4ECD85C7" w14:textId="77777777" w:rsidTr="008D29AF">
        <w:tc>
          <w:tcPr>
            <w:tcW w:w="1555" w:type="dxa"/>
          </w:tcPr>
          <w:p w14:paraId="5ADBFF21" w14:textId="25668A7D" w:rsidR="003B4D2C" w:rsidRPr="00DF7BAD" w:rsidRDefault="003B4D2C" w:rsidP="00666717">
            <w:pPr>
              <w:rPr>
                <w:rFonts w:cstheme="minorHAnsi"/>
                <w:bCs/>
              </w:rPr>
            </w:pPr>
            <w:r>
              <w:rPr>
                <w:rFonts w:cstheme="minorHAnsi"/>
                <w:bCs/>
              </w:rPr>
              <w:t>02</w:t>
            </w:r>
          </w:p>
        </w:tc>
        <w:tc>
          <w:tcPr>
            <w:tcW w:w="1984" w:type="dxa"/>
          </w:tcPr>
          <w:p w14:paraId="44D77AAA" w14:textId="23C25598" w:rsidR="003B4D2C" w:rsidRDefault="00B63EB5" w:rsidP="00666717">
            <w:pPr>
              <w:rPr>
                <w:rFonts w:cstheme="minorHAnsi"/>
              </w:rPr>
            </w:pPr>
            <w:r>
              <w:rPr>
                <w:rFonts w:cstheme="minorHAnsi"/>
              </w:rPr>
              <w:t>06/21/2019</w:t>
            </w:r>
          </w:p>
        </w:tc>
        <w:tc>
          <w:tcPr>
            <w:tcW w:w="2410" w:type="dxa"/>
          </w:tcPr>
          <w:p w14:paraId="1989B842" w14:textId="581069D6" w:rsidR="003B4D2C" w:rsidRPr="00353069" w:rsidRDefault="00B63EB5" w:rsidP="00666717">
            <w:pPr>
              <w:rPr>
                <w:rFonts w:cstheme="minorHAnsi"/>
                <w:bCs/>
              </w:rPr>
            </w:pPr>
            <w:r>
              <w:rPr>
                <w:rFonts w:cstheme="minorHAnsi"/>
                <w:bCs/>
              </w:rPr>
              <w:t>krva</w:t>
            </w:r>
          </w:p>
        </w:tc>
        <w:tc>
          <w:tcPr>
            <w:tcW w:w="3401" w:type="dxa"/>
          </w:tcPr>
          <w:p w14:paraId="536E700D" w14:textId="709F1380" w:rsidR="003B4D2C" w:rsidRPr="00356956" w:rsidRDefault="00B63EB5" w:rsidP="00666717">
            <w:pPr>
              <w:rPr>
                <w:rFonts w:cstheme="minorHAnsi"/>
                <w:bCs/>
              </w:rPr>
            </w:pPr>
            <w:r>
              <w:rPr>
                <w:rFonts w:cstheme="minorHAnsi"/>
                <w:bCs/>
              </w:rPr>
              <w:t>Review of early study termination</w:t>
            </w:r>
          </w:p>
        </w:tc>
      </w:tr>
      <w:tr w:rsidR="003B4D2C" w14:paraId="6984A663" w14:textId="77777777" w:rsidTr="008D29AF">
        <w:tc>
          <w:tcPr>
            <w:tcW w:w="1555" w:type="dxa"/>
          </w:tcPr>
          <w:p w14:paraId="22C3EAC3" w14:textId="36AB62AD" w:rsidR="003B4D2C" w:rsidRDefault="003B4D2C" w:rsidP="00666717">
            <w:pPr>
              <w:rPr>
                <w:rFonts w:cstheme="minorHAnsi"/>
                <w:bCs/>
              </w:rPr>
            </w:pPr>
            <w:r>
              <w:rPr>
                <w:rFonts w:cstheme="minorHAnsi"/>
                <w:bCs/>
              </w:rPr>
              <w:t>03</w:t>
            </w:r>
          </w:p>
        </w:tc>
        <w:tc>
          <w:tcPr>
            <w:tcW w:w="1984" w:type="dxa"/>
          </w:tcPr>
          <w:p w14:paraId="51120432" w14:textId="1A973769" w:rsidR="003B4D2C" w:rsidRDefault="00B63EB5" w:rsidP="00666717">
            <w:pPr>
              <w:rPr>
                <w:rFonts w:cstheme="minorHAnsi"/>
              </w:rPr>
            </w:pPr>
            <w:r>
              <w:rPr>
                <w:rFonts w:cstheme="minorHAnsi"/>
              </w:rPr>
              <w:t>03/05/2021</w:t>
            </w:r>
          </w:p>
        </w:tc>
        <w:tc>
          <w:tcPr>
            <w:tcW w:w="2410" w:type="dxa"/>
          </w:tcPr>
          <w:p w14:paraId="3B37C556" w14:textId="4CE0C9D0" w:rsidR="003B4D2C" w:rsidRPr="00353069" w:rsidRDefault="00B63EB5" w:rsidP="00666717">
            <w:pPr>
              <w:rPr>
                <w:rFonts w:cstheme="minorHAnsi"/>
                <w:bCs/>
              </w:rPr>
            </w:pPr>
            <w:r>
              <w:rPr>
                <w:rFonts w:cstheme="minorHAnsi"/>
                <w:bCs/>
              </w:rPr>
              <w:t>krva</w:t>
            </w:r>
          </w:p>
        </w:tc>
        <w:tc>
          <w:tcPr>
            <w:tcW w:w="3401" w:type="dxa"/>
          </w:tcPr>
          <w:p w14:paraId="659A3F8B" w14:textId="4187C3A0" w:rsidR="003B4D2C" w:rsidRPr="00356956" w:rsidRDefault="00B63EB5" w:rsidP="00666717">
            <w:pPr>
              <w:rPr>
                <w:rFonts w:cstheme="minorHAnsi"/>
                <w:bCs/>
              </w:rPr>
            </w:pPr>
            <w:r>
              <w:rPr>
                <w:rFonts w:cstheme="minorHAnsi"/>
                <w:bCs/>
              </w:rPr>
              <w:t>Early Termination Report Form 019</w:t>
            </w:r>
          </w:p>
        </w:tc>
      </w:tr>
      <w:tr w:rsidR="003B4D2C" w14:paraId="1B9A07AC" w14:textId="77777777" w:rsidTr="008D29AF">
        <w:tc>
          <w:tcPr>
            <w:tcW w:w="1555" w:type="dxa"/>
          </w:tcPr>
          <w:p w14:paraId="3FDE7301" w14:textId="4E5B1393" w:rsidR="003B4D2C" w:rsidRDefault="003B4D2C" w:rsidP="00666717">
            <w:pPr>
              <w:rPr>
                <w:rFonts w:cstheme="minorHAnsi"/>
                <w:bCs/>
              </w:rPr>
            </w:pPr>
            <w:r>
              <w:rPr>
                <w:rFonts w:cstheme="minorHAnsi"/>
                <w:bCs/>
              </w:rPr>
              <w:t>04</w:t>
            </w:r>
          </w:p>
        </w:tc>
        <w:tc>
          <w:tcPr>
            <w:tcW w:w="1984" w:type="dxa"/>
          </w:tcPr>
          <w:p w14:paraId="53EEB871" w14:textId="56E73A1D" w:rsidR="003B4D2C" w:rsidRDefault="00B63EB5" w:rsidP="00666717">
            <w:pPr>
              <w:rPr>
                <w:rFonts w:cstheme="minorHAnsi"/>
              </w:rPr>
            </w:pPr>
            <w:r>
              <w:rPr>
                <w:rFonts w:cstheme="minorHAnsi"/>
              </w:rPr>
              <w:t>09/26/2022</w:t>
            </w:r>
          </w:p>
        </w:tc>
        <w:tc>
          <w:tcPr>
            <w:tcW w:w="2410" w:type="dxa"/>
          </w:tcPr>
          <w:p w14:paraId="0826A10B" w14:textId="7C9FE054" w:rsidR="003B4D2C" w:rsidRPr="00353069" w:rsidRDefault="00B63EB5" w:rsidP="00666717">
            <w:pPr>
              <w:rPr>
                <w:rFonts w:cstheme="minorHAnsi"/>
                <w:bCs/>
              </w:rPr>
            </w:pPr>
            <w:r>
              <w:rPr>
                <w:rFonts w:cstheme="minorHAnsi"/>
                <w:bCs/>
              </w:rPr>
              <w:t>krva</w:t>
            </w:r>
          </w:p>
        </w:tc>
        <w:tc>
          <w:tcPr>
            <w:tcW w:w="3401" w:type="dxa"/>
          </w:tcPr>
          <w:p w14:paraId="4CFCDC3E" w14:textId="10328830" w:rsidR="003B4D2C" w:rsidRPr="00356956" w:rsidRDefault="00B63EB5" w:rsidP="00666717">
            <w:pPr>
              <w:rPr>
                <w:rFonts w:cstheme="minorHAnsi"/>
                <w:bCs/>
              </w:rPr>
            </w:pPr>
            <w:r>
              <w:rPr>
                <w:rFonts w:cstheme="minorHAnsi"/>
                <w:bCs/>
              </w:rPr>
              <w:t>Revision of SOP and Form 022</w:t>
            </w:r>
          </w:p>
        </w:tc>
      </w:tr>
    </w:tbl>
    <w:p w14:paraId="3279B842" w14:textId="77777777" w:rsidR="00F85AE6" w:rsidRDefault="00F85AE6"/>
    <w:sectPr w:rsidR="00F85A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22C5" w14:textId="77777777" w:rsidR="001F70FF" w:rsidRDefault="001F70FF" w:rsidP="000F5BBB">
      <w:pPr>
        <w:spacing w:after="0" w:line="240" w:lineRule="auto"/>
      </w:pPr>
      <w:r>
        <w:separator/>
      </w:r>
    </w:p>
  </w:endnote>
  <w:endnote w:type="continuationSeparator" w:id="0">
    <w:p w14:paraId="60052859" w14:textId="77777777" w:rsidR="001F70FF" w:rsidRDefault="001F70FF"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1A30" w14:textId="77777777" w:rsidR="004B7917" w:rsidRDefault="004B7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7BC7" w14:textId="77777777" w:rsidR="004B7917" w:rsidRDefault="004B7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063B2" w14:textId="77777777" w:rsidR="001F70FF" w:rsidRDefault="001F70FF" w:rsidP="000F5BBB">
      <w:pPr>
        <w:spacing w:after="0" w:line="240" w:lineRule="auto"/>
      </w:pPr>
      <w:r>
        <w:separator/>
      </w:r>
    </w:p>
  </w:footnote>
  <w:footnote w:type="continuationSeparator" w:id="0">
    <w:p w14:paraId="4968C556" w14:textId="77777777" w:rsidR="001F70FF" w:rsidRDefault="001F70FF"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64E6" w14:textId="77777777" w:rsidR="004B7917" w:rsidRDefault="004B7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379E56D8" w14:textId="77777777" w:rsidR="007D7687" w:rsidRDefault="007D7687" w:rsidP="003319AA">
          <w:pPr>
            <w:pStyle w:val="TableContents"/>
            <w:spacing w:after="0" w:line="240" w:lineRule="auto"/>
            <w:jc w:val="center"/>
            <w:rPr>
              <w:rFonts w:ascii="Palatino Linotype" w:hAnsi="Palatino Linotype"/>
              <w:b/>
              <w:sz w:val="28"/>
              <w:szCs w:val="32"/>
            </w:rPr>
          </w:pPr>
        </w:p>
        <w:p w14:paraId="52E8FFC3" w14:textId="5EB783AB"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157236">
            <w:rPr>
              <w:rFonts w:ascii="Palatino Linotype" w:hAnsi="Palatino Linotype"/>
              <w:b/>
              <w:sz w:val="28"/>
              <w:szCs w:val="32"/>
            </w:rPr>
            <w:t>4</w:t>
          </w:r>
        </w:p>
        <w:p w14:paraId="3C3BB7F2" w14:textId="0EF360A6" w:rsidR="00834FC3" w:rsidRPr="00082D47" w:rsidRDefault="00157236" w:rsidP="00DE543B">
          <w:pPr>
            <w:pStyle w:val="FreeForm"/>
            <w:spacing w:line="276" w:lineRule="auto"/>
            <w:jc w:val="center"/>
            <w:rPr>
              <w:rFonts w:ascii="Palatino Linotype" w:hAnsi="Palatino Linotype"/>
              <w:color w:val="auto"/>
              <w:sz w:val="22"/>
              <w:szCs w:val="22"/>
            </w:rPr>
          </w:pPr>
          <w:r>
            <w:rPr>
              <w:rFonts w:ascii="Palatino Linotype" w:hAnsi="Palatino Linotype"/>
              <w:b/>
              <w:sz w:val="28"/>
              <w:szCs w:val="32"/>
            </w:rPr>
            <w:t>Review of Early Termination Reports</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75DEA57D" w:rsidR="004B7917"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4B7917">
            <w:rPr>
              <w:rFonts w:ascii="Palatino Linotype" w:hAnsi="Palatino Linotype"/>
              <w:color w:val="auto"/>
              <w:sz w:val="22"/>
              <w:szCs w:val="22"/>
            </w:rPr>
            <w:t>4</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24405A43"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CDCD" w14:textId="77777777" w:rsidR="004B7917" w:rsidRDefault="004B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4"/>
  </w:num>
  <w:num w:numId="5" w16cid:durableId="17504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03139"/>
    <w:rsid w:val="0000628C"/>
    <w:rsid w:val="00033616"/>
    <w:rsid w:val="00082D47"/>
    <w:rsid w:val="00085131"/>
    <w:rsid w:val="00092E70"/>
    <w:rsid w:val="000A3F71"/>
    <w:rsid w:val="000D171D"/>
    <w:rsid w:val="000E5808"/>
    <w:rsid w:val="000E59F4"/>
    <w:rsid w:val="000F5BBB"/>
    <w:rsid w:val="000F5EBF"/>
    <w:rsid w:val="0010674E"/>
    <w:rsid w:val="00116664"/>
    <w:rsid w:val="00116A18"/>
    <w:rsid w:val="0013614F"/>
    <w:rsid w:val="00157236"/>
    <w:rsid w:val="00192295"/>
    <w:rsid w:val="001B60D7"/>
    <w:rsid w:val="001F70FF"/>
    <w:rsid w:val="002943B1"/>
    <w:rsid w:val="00312F49"/>
    <w:rsid w:val="00313032"/>
    <w:rsid w:val="003319AA"/>
    <w:rsid w:val="0033682D"/>
    <w:rsid w:val="00353069"/>
    <w:rsid w:val="00356956"/>
    <w:rsid w:val="00357FA5"/>
    <w:rsid w:val="00390069"/>
    <w:rsid w:val="003B4D2C"/>
    <w:rsid w:val="003F00C4"/>
    <w:rsid w:val="004035E7"/>
    <w:rsid w:val="00452E21"/>
    <w:rsid w:val="00495302"/>
    <w:rsid w:val="004A17E5"/>
    <w:rsid w:val="004B7917"/>
    <w:rsid w:val="004C3F5B"/>
    <w:rsid w:val="004C432A"/>
    <w:rsid w:val="004E1064"/>
    <w:rsid w:val="004E2CFA"/>
    <w:rsid w:val="004F45C4"/>
    <w:rsid w:val="004F5DBC"/>
    <w:rsid w:val="005246F6"/>
    <w:rsid w:val="005407B5"/>
    <w:rsid w:val="00541DDF"/>
    <w:rsid w:val="00566273"/>
    <w:rsid w:val="00586530"/>
    <w:rsid w:val="0059759A"/>
    <w:rsid w:val="005D030B"/>
    <w:rsid w:val="005D4827"/>
    <w:rsid w:val="005E3FF0"/>
    <w:rsid w:val="005F1D50"/>
    <w:rsid w:val="00611DCE"/>
    <w:rsid w:val="0065282C"/>
    <w:rsid w:val="00666717"/>
    <w:rsid w:val="0067374C"/>
    <w:rsid w:val="0068276F"/>
    <w:rsid w:val="0068348C"/>
    <w:rsid w:val="006C1D9A"/>
    <w:rsid w:val="006F02EE"/>
    <w:rsid w:val="006F15A2"/>
    <w:rsid w:val="006F6ACC"/>
    <w:rsid w:val="007412D6"/>
    <w:rsid w:val="00761F05"/>
    <w:rsid w:val="00770EA5"/>
    <w:rsid w:val="007C383F"/>
    <w:rsid w:val="007C4477"/>
    <w:rsid w:val="007D7687"/>
    <w:rsid w:val="008252E8"/>
    <w:rsid w:val="00834FC3"/>
    <w:rsid w:val="00851BED"/>
    <w:rsid w:val="008660BC"/>
    <w:rsid w:val="00884F3C"/>
    <w:rsid w:val="008A15C2"/>
    <w:rsid w:val="008A4E19"/>
    <w:rsid w:val="008C3860"/>
    <w:rsid w:val="008D29AF"/>
    <w:rsid w:val="008E342E"/>
    <w:rsid w:val="008E3DCE"/>
    <w:rsid w:val="008F6F8E"/>
    <w:rsid w:val="00900626"/>
    <w:rsid w:val="00910B54"/>
    <w:rsid w:val="00914630"/>
    <w:rsid w:val="00926B91"/>
    <w:rsid w:val="009503C0"/>
    <w:rsid w:val="00951D64"/>
    <w:rsid w:val="00981EC1"/>
    <w:rsid w:val="00990305"/>
    <w:rsid w:val="009C5AC3"/>
    <w:rsid w:val="00A22B7A"/>
    <w:rsid w:val="00A30117"/>
    <w:rsid w:val="00A700F4"/>
    <w:rsid w:val="00A7265A"/>
    <w:rsid w:val="00A903E4"/>
    <w:rsid w:val="00A92149"/>
    <w:rsid w:val="00A94389"/>
    <w:rsid w:val="00AC30BB"/>
    <w:rsid w:val="00AC5F8C"/>
    <w:rsid w:val="00AD2F87"/>
    <w:rsid w:val="00AD6438"/>
    <w:rsid w:val="00AF0443"/>
    <w:rsid w:val="00B41012"/>
    <w:rsid w:val="00B63EB5"/>
    <w:rsid w:val="00B66559"/>
    <w:rsid w:val="00B66812"/>
    <w:rsid w:val="00BC70A2"/>
    <w:rsid w:val="00BE3FA1"/>
    <w:rsid w:val="00C209F7"/>
    <w:rsid w:val="00C4125B"/>
    <w:rsid w:val="00C52B74"/>
    <w:rsid w:val="00C96508"/>
    <w:rsid w:val="00CE5DCB"/>
    <w:rsid w:val="00CF3FE6"/>
    <w:rsid w:val="00D23B5E"/>
    <w:rsid w:val="00D40102"/>
    <w:rsid w:val="00D5142F"/>
    <w:rsid w:val="00D579F2"/>
    <w:rsid w:val="00D66566"/>
    <w:rsid w:val="00DD2CFA"/>
    <w:rsid w:val="00DE543B"/>
    <w:rsid w:val="00DF7BAD"/>
    <w:rsid w:val="00E0404E"/>
    <w:rsid w:val="00E60A3B"/>
    <w:rsid w:val="00E73F9C"/>
    <w:rsid w:val="00EA1D45"/>
    <w:rsid w:val="00EA2453"/>
    <w:rsid w:val="00EC01CB"/>
    <w:rsid w:val="00EC21B8"/>
    <w:rsid w:val="00EC6D8A"/>
    <w:rsid w:val="00EC7B2E"/>
    <w:rsid w:val="00EE4DC5"/>
    <w:rsid w:val="00F85AE6"/>
    <w:rsid w:val="00FB45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A7E8"/>
  <w15:docId w15:val="{07D2735D-05D8-4908-A430-301B25E22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644</Words>
  <Characters>3327</Characters>
  <Application>Microsoft Office Word</Application>
  <DocSecurity>0</DocSecurity>
  <Lines>85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cp:revision>
  <dcterms:created xsi:type="dcterms:W3CDTF">2022-09-26T03:48:00Z</dcterms:created>
  <dcterms:modified xsi:type="dcterms:W3CDTF">2024-02-08T11:13:00Z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e1c2662c24ab41a293e0486903125a7cdf97f964345775d4a72b2efb4764a1d8</vt:lpwstr>
  </property>
</Properties>
</file>