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0E476455" w14:textId="0C1F0481" w:rsidR="007C4477" w:rsidRPr="007C4477" w:rsidRDefault="007C4477" w:rsidP="007C4477">
      <w:pPr>
        <w:pStyle w:val="FreeForm"/>
        <w:spacing w:line="276" w:lineRule="auto"/>
        <w:jc w:val="both"/>
        <w:rPr>
          <w:rFonts w:asciiTheme="minorHAnsi" w:eastAsia="Times" w:hAnsiTheme="minorHAnsi" w:cstheme="minorHAnsi"/>
          <w:sz w:val="22"/>
          <w:szCs w:val="22"/>
        </w:rPr>
      </w:pPr>
      <w:r w:rsidRPr="007C4477">
        <w:rPr>
          <w:rFonts w:asciiTheme="minorHAnsi" w:hAnsiTheme="minorHAnsi" w:cstheme="minorHAnsi"/>
          <w:sz w:val="22"/>
          <w:szCs w:val="22"/>
        </w:rPr>
        <w:t xml:space="preserve">The REC shall require the submission of reports of SAEs and SUSARs within </w:t>
      </w:r>
      <w:r w:rsidR="009D3CCF" w:rsidRPr="009D3CCF">
        <w:rPr>
          <w:rFonts w:asciiTheme="minorHAnsi" w:hAnsiTheme="minorHAnsi" w:cstheme="minorHAnsi"/>
          <w:sz w:val="22"/>
          <w:szCs w:val="22"/>
          <w:highlight w:val="yellow"/>
        </w:rPr>
        <w:t>7 days</w:t>
      </w:r>
      <w:r w:rsidR="009D3CCF">
        <w:rPr>
          <w:rFonts w:asciiTheme="minorHAnsi" w:hAnsiTheme="minorHAnsi" w:cstheme="minorHAnsi"/>
          <w:sz w:val="22"/>
          <w:szCs w:val="22"/>
        </w:rPr>
        <w:t xml:space="preserve"> </w:t>
      </w:r>
      <w:r w:rsidRPr="007C4477">
        <w:rPr>
          <w:rFonts w:asciiTheme="minorHAnsi" w:hAnsiTheme="minorHAnsi" w:cstheme="minorHAnsi"/>
          <w:sz w:val="22"/>
          <w:szCs w:val="22"/>
        </w:rPr>
        <w:t>after the event has come to the attention of the researcher.</w:t>
      </w:r>
      <w:r w:rsidRPr="007C4477">
        <w:rPr>
          <w:rFonts w:asciiTheme="minorHAnsi" w:hAnsiTheme="minorHAnsi" w:cstheme="minorHAnsi"/>
        </w:rPr>
        <w:t xml:space="preserve"> </w:t>
      </w:r>
      <w:r w:rsidRPr="007C4477">
        <w:rPr>
          <w:rFonts w:asciiTheme="minorHAnsi" w:hAnsiTheme="minorHAnsi" w:cstheme="minorHAnsi"/>
          <w:sz w:val="22"/>
          <w:szCs w:val="22"/>
        </w:rPr>
        <w:t xml:space="preserve">The evaluation of the SAEs and SUSARs shall be conducted by the Subcommittee on SAEs and SUSARs whose recommendation shall be submitted to the REC for final action. </w:t>
      </w:r>
    </w:p>
    <w:p w14:paraId="26E46386" w14:textId="63E0C8A0" w:rsidR="00884F3C" w:rsidRDefault="00884F3C" w:rsidP="00312F49">
      <w:pPr>
        <w:pStyle w:val="NoSpacing"/>
        <w:rPr>
          <w:rFonts w:ascii="Trebuchet MS" w:hAnsi="Trebuchet MS"/>
          <w:i/>
          <w:iCs/>
        </w:rPr>
      </w:pPr>
    </w:p>
    <w:p w14:paraId="590AD437" w14:textId="77777777" w:rsidR="007C4477" w:rsidRPr="00092E70" w:rsidRDefault="007C4477" w:rsidP="00312F49">
      <w:pPr>
        <w:pStyle w:val="NoSpacing"/>
        <w:rPr>
          <w:rFonts w:cstheme="minorHAnsi"/>
          <w:b/>
        </w:rPr>
      </w:pPr>
    </w:p>
    <w:p w14:paraId="6D3886B6" w14:textId="2E0C5CFA" w:rsidR="00F85AE6" w:rsidRPr="00092E70" w:rsidRDefault="00F85AE6" w:rsidP="00F85AE6">
      <w:pPr>
        <w:pStyle w:val="NoSpacing"/>
        <w:jc w:val="center"/>
        <w:rPr>
          <w:rFonts w:cstheme="minorHAnsi"/>
          <w:b/>
        </w:rPr>
      </w:pPr>
      <w:r w:rsidRPr="00092E70">
        <w:rPr>
          <w:rFonts w:cstheme="minorHAnsi"/>
          <w:b/>
        </w:rPr>
        <w:t>Objectives of the SOP</w:t>
      </w:r>
    </w:p>
    <w:p w14:paraId="2C94D826" w14:textId="77777777" w:rsidR="00F85AE6" w:rsidRPr="00092E70" w:rsidRDefault="00F85AE6" w:rsidP="00F85AE6">
      <w:pPr>
        <w:pStyle w:val="NoSpacing"/>
        <w:rPr>
          <w:rFonts w:cstheme="minorHAnsi"/>
        </w:rPr>
      </w:pPr>
    </w:p>
    <w:p w14:paraId="2FFD391E" w14:textId="79BC762A" w:rsidR="00914630" w:rsidRDefault="007C4477" w:rsidP="007C4477">
      <w:pPr>
        <w:pStyle w:val="NoSpacing"/>
        <w:jc w:val="both"/>
        <w:rPr>
          <w:rFonts w:cstheme="minorHAnsi"/>
        </w:rPr>
      </w:pPr>
      <w:r w:rsidRPr="007C4477">
        <w:rPr>
          <w:rFonts w:cstheme="minorHAnsi"/>
        </w:rPr>
        <w:t>Review of SAE and SUSAR reports aims to ensure that the safety and welfare of human participants in the study site are safeguarded and that information on SAEs and SUSARs are properly documented and evaluated.</w:t>
      </w:r>
    </w:p>
    <w:p w14:paraId="4E0E24D0" w14:textId="77777777" w:rsidR="007C4477" w:rsidRPr="007C4477" w:rsidRDefault="007C4477" w:rsidP="007C4477">
      <w:pPr>
        <w:pStyle w:val="NoSpacing"/>
        <w:jc w:val="both"/>
        <w:rPr>
          <w:rFonts w:cstheme="minorHAnsi"/>
        </w:rPr>
      </w:pPr>
    </w:p>
    <w:p w14:paraId="3AEE443D" w14:textId="751212D2" w:rsidR="00F85AE6" w:rsidRPr="00092E70" w:rsidRDefault="00F85AE6" w:rsidP="004A17E5">
      <w:pPr>
        <w:pStyle w:val="NoSpacing"/>
        <w:jc w:val="center"/>
        <w:rPr>
          <w:rFonts w:cstheme="minorHAnsi"/>
          <w:b/>
        </w:rPr>
      </w:pPr>
      <w:r w:rsidRPr="00092E70">
        <w:rPr>
          <w:rFonts w:cstheme="minorHAnsi"/>
          <w:b/>
        </w:rPr>
        <w:t>Scope/Applicability</w:t>
      </w:r>
    </w:p>
    <w:p w14:paraId="1DB2DFED" w14:textId="77777777" w:rsidR="00A94389" w:rsidRPr="00092E70" w:rsidRDefault="00A94389" w:rsidP="004A17E5">
      <w:pPr>
        <w:pStyle w:val="NoSpacing"/>
        <w:rPr>
          <w:rFonts w:cstheme="minorHAnsi"/>
        </w:rPr>
      </w:pPr>
    </w:p>
    <w:p w14:paraId="716A1ED0" w14:textId="100E6656" w:rsidR="00884F3C" w:rsidRPr="007C4477" w:rsidRDefault="007C4477" w:rsidP="007C4477">
      <w:pPr>
        <w:pStyle w:val="NoSpacing"/>
        <w:jc w:val="both"/>
        <w:rPr>
          <w:rFonts w:cstheme="minorHAnsi"/>
        </w:rPr>
      </w:pPr>
      <w:r w:rsidRPr="007C4477">
        <w:rPr>
          <w:rFonts w:cstheme="minorHAnsi"/>
        </w:rPr>
        <w:t>This SOP applies to the review of reports of SAEs in various studies and SUSARs in clinical trials. This SOP begins with the receipt and documentation of submission of report of SAEs and SUSARs in the logbook and ends with the filing of all related documents and update of the protocol database.</w:t>
      </w:r>
    </w:p>
    <w:p w14:paraId="1378A95E" w14:textId="77777777" w:rsidR="007C4477" w:rsidRPr="008E342E" w:rsidRDefault="007C4477" w:rsidP="0059759A">
      <w:pPr>
        <w:pStyle w:val="NoSpacing"/>
        <w:jc w:val="center"/>
        <w:rPr>
          <w:rFonts w:cstheme="minorHAnsi"/>
          <w:b/>
        </w:rPr>
      </w:pPr>
    </w:p>
    <w:p w14:paraId="333A750E" w14:textId="3834F4A7"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tbl>
      <w:tblPr>
        <w:tblW w:w="8529"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127"/>
        <w:gridCol w:w="1843"/>
        <w:gridCol w:w="1559"/>
      </w:tblGrid>
      <w:tr w:rsidR="007C4477" w:rsidRPr="005246F6" w14:paraId="03F8F789" w14:textId="54655E0D" w:rsidTr="007C4477">
        <w:trPr>
          <w:trHeight w:val="281"/>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0513EF8" w14:textId="77777777" w:rsidR="007C4477" w:rsidRPr="005246F6" w:rsidRDefault="007C4477" w:rsidP="00832C34">
            <w:pPr>
              <w:pStyle w:val="FreeForm"/>
              <w:spacing w:line="276" w:lineRule="auto"/>
              <w:jc w:val="center"/>
              <w:rPr>
                <w:rFonts w:asciiTheme="minorHAnsi" w:hAnsiTheme="minorHAnsi" w:cstheme="minorHAnsi"/>
                <w:sz w:val="22"/>
                <w:szCs w:val="22"/>
              </w:rPr>
            </w:pPr>
            <w:r w:rsidRPr="005246F6">
              <w:rPr>
                <w:rFonts w:asciiTheme="minorHAnsi" w:hAnsiTheme="minorHAnsi" w:cstheme="minorHAnsi"/>
                <w:b/>
                <w:bCs/>
                <w:sz w:val="22"/>
                <w:szCs w:val="22"/>
              </w:rPr>
              <w:t>ACTIVITY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7E980A4" w14:textId="77777777" w:rsidR="007C4477" w:rsidRPr="005246F6" w:rsidRDefault="007C4477" w:rsidP="00832C34">
            <w:pPr>
              <w:pStyle w:val="FreeForm"/>
              <w:spacing w:line="276" w:lineRule="auto"/>
              <w:jc w:val="center"/>
              <w:rPr>
                <w:rFonts w:asciiTheme="minorHAnsi" w:hAnsiTheme="minorHAnsi" w:cstheme="minorHAnsi"/>
                <w:sz w:val="22"/>
                <w:szCs w:val="22"/>
              </w:rPr>
            </w:pPr>
            <w:r w:rsidRPr="005246F6">
              <w:rPr>
                <w:rFonts w:asciiTheme="minorHAnsi" w:hAnsiTheme="minorHAnsi" w:cstheme="minorHAnsi"/>
                <w:b/>
                <w:bCs/>
                <w:sz w:val="22"/>
                <w:szCs w:val="22"/>
              </w:rPr>
              <w:t>RESPONSIBILITY</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4FD5ECCB" w14:textId="04EB5BD5" w:rsidR="007C4477" w:rsidRPr="005246F6" w:rsidRDefault="007C4477" w:rsidP="00832C34">
            <w:pPr>
              <w:pStyle w:val="FreeForm"/>
              <w:spacing w:line="276" w:lineRule="auto"/>
              <w:jc w:val="center"/>
              <w:rPr>
                <w:rFonts w:asciiTheme="minorHAnsi" w:hAnsiTheme="minorHAnsi" w:cstheme="minorHAnsi"/>
                <w:b/>
                <w:bCs/>
                <w:sz w:val="22"/>
                <w:szCs w:val="22"/>
              </w:rPr>
            </w:pPr>
            <w:r w:rsidRPr="005246F6">
              <w:rPr>
                <w:rFonts w:asciiTheme="minorHAnsi" w:hAnsiTheme="minorHAnsi" w:cstheme="minorHAnsi"/>
                <w:b/>
                <w:bCs/>
                <w:sz w:val="22"/>
                <w:szCs w:val="22"/>
              </w:rPr>
              <w:t>TIMELINE</w:t>
            </w:r>
          </w:p>
        </w:tc>
      </w:tr>
      <w:tr w:rsidR="007C4477" w:rsidRPr="005246F6" w14:paraId="53F4C210" w14:textId="5CE9F9F1" w:rsidTr="007C4477">
        <w:trPr>
          <w:trHeight w:val="542"/>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13D0217"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Step 1: Receipt and documentation of submission of report of SAEs and SUSARs in the logbook.</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C85CC21"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1726765C" w14:textId="32E6D231"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7C4477" w:rsidRPr="005246F6" w14:paraId="73C88AD3" w14:textId="399758CD" w:rsidTr="007C4477">
        <w:trPr>
          <w:trHeight w:val="356"/>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FC5CE5E"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Step 2: Retrieval of pertinent protocol file</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28AD98C"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7E367ED8" w14:textId="00822365"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7C4477" w:rsidRPr="005246F6" w14:paraId="516A105F" w14:textId="0BAD2486" w:rsidTr="007C4477">
        <w:trPr>
          <w:trHeight w:val="281"/>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F82BEFB"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 xml:space="preserve">Step 3: Notification of Chair </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5E5869E"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0C5EEC7E" w14:textId="380E9F51"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7C4477" w:rsidRPr="005246F6" w14:paraId="4D74CA1B" w14:textId="30A36003" w:rsidTr="007C4477">
        <w:trPr>
          <w:trHeight w:val="199"/>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D02F675" w14:textId="62D195DA"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 xml:space="preserve">Step 4: Submission of report </w:t>
            </w:r>
            <w:r w:rsidR="00B679E9">
              <w:rPr>
                <w:rFonts w:asciiTheme="minorHAnsi" w:hAnsiTheme="minorHAnsi" w:cstheme="minorHAnsi"/>
                <w:sz w:val="22"/>
                <w:szCs w:val="22"/>
              </w:rPr>
              <w:t>REC</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B5E090"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06A71C73" w14:textId="1EE45271"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7C4477" w:rsidRPr="005246F6" w14:paraId="268FCF6A" w14:textId="53FB1495" w:rsidTr="007C4477">
        <w:trPr>
          <w:trHeight w:val="542"/>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47A46D4" w14:textId="1D6EAF8D"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Step 5: Inclusion of report in the agenda of the next regular REC meeting</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1FBDE66"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 and Chair</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625189CB" w14:textId="30DB6EC4"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7C4477" w:rsidRPr="005246F6" w14:paraId="5B9D51B6" w14:textId="6D201FA3" w:rsidTr="007C4477">
        <w:trPr>
          <w:trHeight w:val="542"/>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614DF9C" w14:textId="3AEB1DDD"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lastRenderedPageBreak/>
              <w:t>Step 6: Communication of REC action to the Principal Investigator/researcher (SOP on Communication of REC Decisions (SOP#</w:t>
            </w:r>
            <w:r w:rsidR="005246F6">
              <w:rPr>
                <w:rFonts w:asciiTheme="minorHAnsi" w:hAnsiTheme="minorHAnsi" w:cstheme="minorHAnsi"/>
                <w:sz w:val="22"/>
                <w:szCs w:val="22"/>
              </w:rPr>
              <w:t xml:space="preserve"> 21</w:t>
            </w:r>
            <w:r w:rsidRPr="005246F6">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9D3562A"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 and Chair</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046AA9D4" w14:textId="6A3E8D52"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7C4477" w:rsidRPr="005246F6" w14:paraId="721E040B" w14:textId="0B01D601" w:rsidTr="007C4477">
        <w:trPr>
          <w:trHeight w:val="542"/>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D54A5C2" w14:textId="48C07D18"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 xml:space="preserve">Step 7: Filing of all related documents (SOP </w:t>
            </w:r>
            <w:r w:rsidR="005246F6">
              <w:rPr>
                <w:rFonts w:asciiTheme="minorHAnsi" w:hAnsiTheme="minorHAnsi" w:cstheme="minorHAnsi"/>
                <w:sz w:val="22"/>
                <w:szCs w:val="22"/>
              </w:rPr>
              <w:t>23</w:t>
            </w:r>
            <w:r w:rsidRPr="005246F6">
              <w:rPr>
                <w:rFonts w:asciiTheme="minorHAnsi" w:hAnsiTheme="minorHAnsi" w:cstheme="minorHAnsi"/>
                <w:sz w:val="22"/>
                <w:szCs w:val="22"/>
              </w:rPr>
              <w:t xml:space="preserve"> Management of Active Files) and Update of the protocol database</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367D9DE" w14:textId="77777777" w:rsidR="007C4477" w:rsidRPr="005246F6" w:rsidRDefault="007C4477" w:rsidP="00832C34">
            <w:pPr>
              <w:pStyle w:val="FreeForm"/>
              <w:spacing w:line="276" w:lineRule="auto"/>
              <w:jc w:val="both"/>
              <w:rPr>
                <w:rFonts w:asciiTheme="minorHAnsi" w:hAnsiTheme="minorHAnsi" w:cstheme="minorHAnsi"/>
                <w:sz w:val="22"/>
                <w:szCs w:val="22"/>
              </w:rPr>
            </w:pPr>
            <w:r w:rsidRPr="005246F6">
              <w:rPr>
                <w:rFonts w:asciiTheme="minorHAnsi" w:hAnsiTheme="minorHAnsi" w:cstheme="minorHAnsi"/>
                <w:sz w:val="22"/>
                <w:szCs w:val="22"/>
              </w:rPr>
              <w:t>Staff</w:t>
            </w:r>
          </w:p>
        </w:tc>
        <w:tc>
          <w:tcPr>
            <w:tcW w:w="1559" w:type="dxa"/>
            <w:tcBorders>
              <w:top w:val="single" w:sz="8" w:space="0" w:color="000000"/>
              <w:left w:val="single" w:sz="8" w:space="0" w:color="000000"/>
              <w:bottom w:val="single" w:sz="8" w:space="0" w:color="000000"/>
              <w:right w:val="single" w:sz="8" w:space="0" w:color="000000"/>
            </w:tcBorders>
            <w:shd w:val="clear" w:color="auto" w:fill="FEFFFF"/>
          </w:tcPr>
          <w:p w14:paraId="607B8960" w14:textId="5459E742" w:rsidR="007C4477" w:rsidRPr="005246F6" w:rsidRDefault="00B442E4" w:rsidP="00832C3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68BF19A1" w14:textId="77777777" w:rsidR="00092E70" w:rsidRDefault="00092E70" w:rsidP="0059759A">
      <w:pPr>
        <w:pStyle w:val="NoSpacing"/>
        <w:jc w:val="center"/>
        <w:rPr>
          <w:rFonts w:cstheme="minorHAnsi"/>
          <w:b/>
        </w:rPr>
      </w:pPr>
    </w:p>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5337E8ED" w14:textId="5D3E10C6" w:rsidR="007C4477" w:rsidRPr="00357FA5" w:rsidRDefault="007C4477" w:rsidP="007C4477">
      <w:pPr>
        <w:pStyle w:val="FreeForm"/>
        <w:spacing w:line="276" w:lineRule="auto"/>
        <w:jc w:val="both"/>
        <w:rPr>
          <w:rFonts w:asciiTheme="minorHAnsi" w:eastAsia="Times" w:hAnsiTheme="minorHAnsi" w:cstheme="minorHAnsi"/>
          <w:sz w:val="22"/>
          <w:szCs w:val="22"/>
        </w:rPr>
      </w:pPr>
      <w:r w:rsidRPr="00357FA5">
        <w:rPr>
          <w:rFonts w:asciiTheme="minorHAnsi" w:hAnsiTheme="minorHAnsi" w:cstheme="minorHAnsi"/>
          <w:sz w:val="22"/>
          <w:szCs w:val="22"/>
        </w:rPr>
        <w:t>Step 1 - Receipt and documentation of submission of report of SAEs and SUSARs in the logbook/database: The Staff receives the accomplished SAE/SUSARs report forms (</w:t>
      </w:r>
      <w:r w:rsidRPr="003205B8">
        <w:rPr>
          <w:rFonts w:asciiTheme="minorHAnsi" w:hAnsiTheme="minorHAnsi" w:cstheme="minorHAnsi"/>
          <w:sz w:val="22"/>
          <w:szCs w:val="22"/>
          <w:highlight w:val="yellow"/>
        </w:rPr>
        <w:t>Form</w:t>
      </w:r>
      <w:r w:rsidR="003205B8" w:rsidRPr="003205B8">
        <w:rPr>
          <w:rFonts w:asciiTheme="minorHAnsi" w:hAnsiTheme="minorHAnsi" w:cstheme="minorHAnsi"/>
          <w:sz w:val="22"/>
          <w:szCs w:val="22"/>
          <w:highlight w:val="yellow"/>
        </w:rPr>
        <w:t xml:space="preserve"> 019</w:t>
      </w:r>
      <w:r w:rsidRPr="00357FA5">
        <w:rPr>
          <w:rFonts w:asciiTheme="minorHAnsi" w:hAnsiTheme="minorHAnsi" w:cstheme="minorHAnsi"/>
          <w:sz w:val="22"/>
          <w:szCs w:val="22"/>
        </w:rPr>
        <w:t xml:space="preserve"> ) and enters the submission into the logbook. The Staff notes whether the submission is within the required timeline. </w:t>
      </w:r>
      <w:r w:rsidR="005246F6" w:rsidRPr="00357FA5">
        <w:rPr>
          <w:rFonts w:asciiTheme="minorHAnsi" w:hAnsiTheme="minorHAnsi" w:cstheme="minorHAnsi"/>
          <w:sz w:val="22"/>
          <w:szCs w:val="22"/>
        </w:rPr>
        <w:t xml:space="preserve"> </w:t>
      </w:r>
    </w:p>
    <w:p w14:paraId="22EFC063" w14:textId="77777777" w:rsidR="007C4477" w:rsidRPr="00357FA5" w:rsidRDefault="007C4477" w:rsidP="007C4477">
      <w:pPr>
        <w:pStyle w:val="FreeForm"/>
        <w:spacing w:line="276" w:lineRule="auto"/>
        <w:jc w:val="both"/>
        <w:rPr>
          <w:rFonts w:asciiTheme="minorHAnsi" w:eastAsia="Times" w:hAnsiTheme="minorHAnsi" w:cstheme="minorHAnsi"/>
          <w:sz w:val="22"/>
          <w:szCs w:val="22"/>
        </w:rPr>
      </w:pPr>
    </w:p>
    <w:p w14:paraId="23429C77" w14:textId="1E26B332" w:rsidR="009D3CCF" w:rsidRPr="00F716AF" w:rsidRDefault="009D3CCF" w:rsidP="009D3CCF">
      <w:pPr>
        <w:pStyle w:val="FreeForm"/>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Timeline Requirements</w:t>
      </w:r>
    </w:p>
    <w:p w14:paraId="28A8781D" w14:textId="77777777" w:rsidR="009D3CCF" w:rsidRPr="00F716AF" w:rsidRDefault="009D3CCF" w:rsidP="009D3CCF">
      <w:pPr>
        <w:pStyle w:val="FreeForm"/>
        <w:jc w:val="both"/>
        <w:rPr>
          <w:rFonts w:asciiTheme="minorHAnsi" w:hAnsiTheme="minorHAnsi" w:cstheme="minorHAnsi"/>
          <w:sz w:val="22"/>
          <w:szCs w:val="22"/>
          <w:highlight w:val="yellow"/>
        </w:rPr>
      </w:pPr>
    </w:p>
    <w:p w14:paraId="151795BC" w14:textId="4932E2A5" w:rsidR="009D3CCF" w:rsidRPr="00F716AF" w:rsidRDefault="009D3CCF" w:rsidP="009D3CCF">
      <w:pPr>
        <w:pStyle w:val="FreeForm"/>
        <w:numPr>
          <w:ilvl w:val="0"/>
          <w:numId w:val="6"/>
        </w:numPr>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The Principal Investigator must report to REC panel all SAEs and SUSARs according to the following timelines consistent with FDA Guidelines on Safety Reporting (FDA Circular 2012-007).:</w:t>
      </w:r>
    </w:p>
    <w:p w14:paraId="4432E19F" w14:textId="77777777" w:rsidR="009D3CCF" w:rsidRPr="00F716AF" w:rsidRDefault="009D3CCF" w:rsidP="009D3CCF">
      <w:pPr>
        <w:pStyle w:val="FreeForm"/>
        <w:jc w:val="both"/>
        <w:rPr>
          <w:rFonts w:asciiTheme="minorHAnsi" w:hAnsiTheme="minorHAnsi" w:cstheme="minorHAnsi"/>
          <w:sz w:val="22"/>
          <w:szCs w:val="22"/>
          <w:highlight w:val="yellow"/>
        </w:rPr>
      </w:pPr>
    </w:p>
    <w:p w14:paraId="2A6EAB7D" w14:textId="5792C715" w:rsidR="009D3CCF" w:rsidRPr="00F716AF" w:rsidRDefault="009D3CCF" w:rsidP="009D3CCF">
      <w:pPr>
        <w:pStyle w:val="FreeForm"/>
        <w:ind w:left="360"/>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1.1. Fatal or life-threatening unexpected adverse drug reactions that occurred onsite must be reported to the REC panel promptly, no later than 7 calendar days after first knowledge by the PI that a case qualifies, followed by as complete a report as possible within 8 additional calendar days, to</w:t>
      </w:r>
    </w:p>
    <w:p w14:paraId="72B59F91" w14:textId="77777777" w:rsidR="009D3CCF" w:rsidRPr="00F716AF" w:rsidRDefault="009D3CCF" w:rsidP="009D3CCF">
      <w:pPr>
        <w:pStyle w:val="FreeForm"/>
        <w:ind w:firstLine="360"/>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coincide with reporting to FDA.</w:t>
      </w:r>
    </w:p>
    <w:p w14:paraId="685C0A7A" w14:textId="77777777" w:rsidR="009D3CCF" w:rsidRPr="00F716AF" w:rsidRDefault="009D3CCF" w:rsidP="009D3CCF">
      <w:pPr>
        <w:pStyle w:val="FreeForm"/>
        <w:jc w:val="both"/>
        <w:rPr>
          <w:rFonts w:asciiTheme="minorHAnsi" w:hAnsiTheme="minorHAnsi" w:cstheme="minorHAnsi"/>
          <w:sz w:val="22"/>
          <w:szCs w:val="22"/>
          <w:highlight w:val="yellow"/>
        </w:rPr>
      </w:pPr>
    </w:p>
    <w:p w14:paraId="4156D8E3" w14:textId="43706080" w:rsidR="009D3CCF" w:rsidRPr="00F716AF" w:rsidRDefault="009D3CCF" w:rsidP="009D3CCF">
      <w:pPr>
        <w:pStyle w:val="FreeForm"/>
        <w:ind w:left="360"/>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1.2. All other serious unexpected adverse drug reactions must be reported to REC  promptly, no later than 15 calendar days after first knowledge by the PI that a case meets the minimum criteria for expedited reporting, to coincide with reporting to FDA.</w:t>
      </w:r>
    </w:p>
    <w:p w14:paraId="0B46D3EC" w14:textId="77777777" w:rsidR="009D3CCF" w:rsidRPr="00F716AF" w:rsidRDefault="009D3CCF" w:rsidP="009D3CCF">
      <w:pPr>
        <w:pStyle w:val="FreeForm"/>
        <w:jc w:val="both"/>
        <w:rPr>
          <w:rFonts w:asciiTheme="minorHAnsi" w:hAnsiTheme="minorHAnsi" w:cstheme="minorHAnsi"/>
          <w:sz w:val="22"/>
          <w:szCs w:val="22"/>
          <w:highlight w:val="yellow"/>
        </w:rPr>
      </w:pPr>
    </w:p>
    <w:p w14:paraId="2FC45590" w14:textId="7C62E3F4" w:rsidR="009D3CCF" w:rsidRPr="00F716AF" w:rsidRDefault="009D3CCF" w:rsidP="009D3CCF">
      <w:pPr>
        <w:pStyle w:val="FreeForm"/>
        <w:ind w:left="360"/>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1.3. For onsite serious adverse events that are expected and non-life threatening, and all other unexpected serious adverse drug reactions that occurred off-site, a summary listing must be reported to REC attached to the submission of the progress report or final report, whichever will be submitted earlier.</w:t>
      </w:r>
    </w:p>
    <w:p w14:paraId="40048F9B" w14:textId="77777777" w:rsidR="009D3CCF" w:rsidRPr="00F716AF" w:rsidRDefault="009D3CCF" w:rsidP="009D3CCF">
      <w:pPr>
        <w:pStyle w:val="FreeForm"/>
        <w:jc w:val="both"/>
        <w:rPr>
          <w:rFonts w:asciiTheme="minorHAnsi" w:hAnsiTheme="minorHAnsi" w:cstheme="minorHAnsi"/>
          <w:sz w:val="22"/>
          <w:szCs w:val="22"/>
          <w:highlight w:val="yellow"/>
        </w:rPr>
      </w:pPr>
    </w:p>
    <w:p w14:paraId="0C9552C4" w14:textId="69FD0EA3" w:rsidR="009D3CCF" w:rsidRPr="00F716AF" w:rsidRDefault="009D3CCF" w:rsidP="009D3CCF">
      <w:pPr>
        <w:pStyle w:val="FreeForm"/>
        <w:ind w:left="360"/>
        <w:jc w:val="both"/>
        <w:rPr>
          <w:rFonts w:asciiTheme="minorHAnsi" w:hAnsiTheme="minorHAnsi" w:cstheme="minorHAnsi"/>
          <w:sz w:val="22"/>
          <w:szCs w:val="22"/>
          <w:highlight w:val="yellow"/>
        </w:rPr>
      </w:pPr>
      <w:r w:rsidRPr="00F716AF">
        <w:rPr>
          <w:rFonts w:asciiTheme="minorHAnsi" w:hAnsiTheme="minorHAnsi" w:cstheme="minorHAnsi"/>
          <w:sz w:val="22"/>
          <w:szCs w:val="22"/>
          <w:highlight w:val="yellow"/>
        </w:rPr>
        <w:t>2. Deaths MUST be reported to REC if they occur within thirty (30) days of the study intervention. Any death occurring greater than 30 days after the last dose of the investigational agent/intervention requires expedited reporting if it is possibly, probably, or definitely related to the investigational agent/intervention or if death cannot be determined based on WHO Causality Assessment definitions.</w:t>
      </w:r>
    </w:p>
    <w:p w14:paraId="54FC2A05" w14:textId="77777777" w:rsidR="00F716AF" w:rsidRPr="00F716AF" w:rsidRDefault="00F716AF" w:rsidP="00F716AF">
      <w:pPr>
        <w:pStyle w:val="FreeForm"/>
        <w:jc w:val="both"/>
        <w:rPr>
          <w:rFonts w:asciiTheme="minorHAnsi" w:hAnsiTheme="minorHAnsi" w:cstheme="minorHAnsi"/>
          <w:sz w:val="22"/>
          <w:szCs w:val="22"/>
          <w:highlight w:val="yellow"/>
        </w:rPr>
      </w:pPr>
    </w:p>
    <w:p w14:paraId="06B75BCE" w14:textId="686053EB" w:rsidR="009D3CCF" w:rsidRDefault="008F2CCD" w:rsidP="008F2CCD">
      <w:pPr>
        <w:pStyle w:val="FreeForm"/>
        <w:ind w:left="360"/>
        <w:jc w:val="both"/>
        <w:rPr>
          <w:rFonts w:asciiTheme="minorHAnsi" w:hAnsiTheme="minorHAnsi" w:cstheme="minorHAnsi"/>
          <w:sz w:val="22"/>
          <w:szCs w:val="22"/>
        </w:rPr>
      </w:pPr>
      <w:r w:rsidRPr="008F2CCD">
        <w:rPr>
          <w:rFonts w:asciiTheme="minorHAnsi" w:hAnsiTheme="minorHAnsi" w:cstheme="minorHAnsi"/>
          <w:sz w:val="22"/>
          <w:szCs w:val="22"/>
          <w:highlight w:val="yellow"/>
        </w:rPr>
        <w:t>3.</w:t>
      </w:r>
      <w:r>
        <w:rPr>
          <w:rFonts w:asciiTheme="minorHAnsi" w:hAnsiTheme="minorHAnsi" w:cstheme="minorHAnsi"/>
          <w:sz w:val="22"/>
          <w:szCs w:val="22"/>
          <w:highlight w:val="yellow"/>
        </w:rPr>
        <w:t xml:space="preserve"> </w:t>
      </w:r>
      <w:r w:rsidR="00F716AF" w:rsidRPr="00F716AF">
        <w:rPr>
          <w:rFonts w:asciiTheme="minorHAnsi" w:hAnsiTheme="minorHAnsi" w:cstheme="minorHAnsi"/>
          <w:sz w:val="22"/>
          <w:szCs w:val="22"/>
          <w:highlight w:val="yellow"/>
        </w:rPr>
        <w:t>The Principal Investigator submits a copy of the SAE submission to REC coinciding with the sponsor’s timeline of the reporting requirement to the FDA.</w:t>
      </w:r>
    </w:p>
    <w:p w14:paraId="3664CDF5" w14:textId="77777777" w:rsidR="008F2CCD" w:rsidRDefault="008F2CCD" w:rsidP="008F2CCD">
      <w:pPr>
        <w:pStyle w:val="FreeForm"/>
        <w:ind w:left="360"/>
        <w:jc w:val="both"/>
        <w:rPr>
          <w:rFonts w:asciiTheme="minorHAnsi" w:hAnsiTheme="minorHAnsi" w:cstheme="minorHAnsi"/>
          <w:sz w:val="22"/>
          <w:szCs w:val="22"/>
        </w:rPr>
      </w:pPr>
    </w:p>
    <w:p w14:paraId="1F299C90" w14:textId="77777777" w:rsidR="008F2CCD" w:rsidRDefault="008F2CCD" w:rsidP="008F2CCD">
      <w:pPr>
        <w:pStyle w:val="FreeForm"/>
        <w:ind w:left="360"/>
        <w:jc w:val="both"/>
        <w:rPr>
          <w:rFonts w:asciiTheme="minorHAnsi" w:hAnsiTheme="minorHAnsi" w:cstheme="minorHAnsi"/>
          <w:sz w:val="22"/>
          <w:szCs w:val="22"/>
        </w:rPr>
      </w:pPr>
    </w:p>
    <w:p w14:paraId="23C37E3E" w14:textId="2EF96E12" w:rsidR="008F2CCD" w:rsidRDefault="008F2CCD" w:rsidP="008F2CCD">
      <w:pPr>
        <w:pStyle w:val="FreeForm"/>
        <w:ind w:left="360"/>
        <w:jc w:val="both"/>
        <w:rPr>
          <w:rFonts w:asciiTheme="minorHAnsi" w:hAnsiTheme="minorHAnsi" w:cstheme="minorHAnsi"/>
          <w:sz w:val="22"/>
          <w:szCs w:val="22"/>
        </w:rPr>
      </w:pPr>
      <w:r w:rsidRPr="00B679E9">
        <w:rPr>
          <w:rFonts w:asciiTheme="minorHAnsi" w:hAnsiTheme="minorHAnsi" w:cstheme="minorHAnsi"/>
          <w:sz w:val="22"/>
          <w:szCs w:val="22"/>
          <w:highlight w:val="yellow"/>
        </w:rPr>
        <w:t>4. Summary of Timeline Requirements for Reporting of PI</w:t>
      </w:r>
    </w:p>
    <w:p w14:paraId="578E20CF" w14:textId="77777777" w:rsidR="008F2CCD" w:rsidRDefault="008F2CCD" w:rsidP="008F2CCD">
      <w:pPr>
        <w:pStyle w:val="FreeForm"/>
        <w:ind w:left="360"/>
        <w:jc w:val="both"/>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2217"/>
        <w:gridCol w:w="1246"/>
        <w:gridCol w:w="1559"/>
        <w:gridCol w:w="3968"/>
      </w:tblGrid>
      <w:tr w:rsidR="008F2CCD" w14:paraId="71F39745" w14:textId="77777777" w:rsidTr="008F2CCD">
        <w:tc>
          <w:tcPr>
            <w:tcW w:w="2217" w:type="dxa"/>
          </w:tcPr>
          <w:p w14:paraId="4DE78592" w14:textId="2B898B4F"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EVENT TYPE</w:t>
            </w:r>
          </w:p>
        </w:tc>
        <w:tc>
          <w:tcPr>
            <w:tcW w:w="1246" w:type="dxa"/>
          </w:tcPr>
          <w:p w14:paraId="45FC031D" w14:textId="72E67392"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 xml:space="preserve">ONSITE OR OFF-SITE </w:t>
            </w:r>
          </w:p>
        </w:tc>
        <w:tc>
          <w:tcPr>
            <w:tcW w:w="1559" w:type="dxa"/>
          </w:tcPr>
          <w:p w14:paraId="7010378A" w14:textId="7306E4A5"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EXPECTED OR UNEXPECTED</w:t>
            </w:r>
          </w:p>
        </w:tc>
        <w:tc>
          <w:tcPr>
            <w:tcW w:w="3968" w:type="dxa"/>
          </w:tcPr>
          <w:p w14:paraId="392F9854" w14:textId="4B91A5A8"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REPORTING REQUIREMENTS</w:t>
            </w:r>
          </w:p>
        </w:tc>
      </w:tr>
      <w:tr w:rsidR="008F2CCD" w14:paraId="5FF0AEFD" w14:textId="77777777" w:rsidTr="008F2CCD">
        <w:tc>
          <w:tcPr>
            <w:tcW w:w="2217" w:type="dxa"/>
          </w:tcPr>
          <w:p w14:paraId="0943A1AE"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Fatal or lifethreatening</w:t>
            </w:r>
          </w:p>
          <w:p w14:paraId="029E3E60"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serious adverse</w:t>
            </w:r>
          </w:p>
          <w:p w14:paraId="0BCB88CA"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event and</w:t>
            </w:r>
          </w:p>
          <w:p w14:paraId="28FF1A38" w14:textId="1A4B6024"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8F2CCD">
              <w:rPr>
                <w:rFonts w:asciiTheme="minorHAnsi" w:hAnsiTheme="minorHAnsi" w:cstheme="minorHAnsi"/>
                <w:sz w:val="22"/>
                <w:szCs w:val="22"/>
              </w:rPr>
              <w:t>reaction</w:t>
            </w:r>
          </w:p>
        </w:tc>
        <w:tc>
          <w:tcPr>
            <w:tcW w:w="1246" w:type="dxa"/>
          </w:tcPr>
          <w:p w14:paraId="5D9D9C66" w14:textId="16806303"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Onsite</w:t>
            </w:r>
          </w:p>
        </w:tc>
        <w:tc>
          <w:tcPr>
            <w:tcW w:w="1559" w:type="dxa"/>
          </w:tcPr>
          <w:p w14:paraId="0285EEE4" w14:textId="22C014D9"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Unexpected</w:t>
            </w:r>
          </w:p>
        </w:tc>
        <w:tc>
          <w:tcPr>
            <w:tcW w:w="3968" w:type="dxa"/>
          </w:tcPr>
          <w:p w14:paraId="0C19EBBF"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Report fatal or life-threatening</w:t>
            </w:r>
          </w:p>
          <w:p w14:paraId="131E3DFF" w14:textId="098F45DC"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 xml:space="preserve">unexpected </w:t>
            </w:r>
            <w:r>
              <w:rPr>
                <w:rFonts w:asciiTheme="minorHAnsi" w:hAnsiTheme="minorHAnsi" w:cstheme="minorHAnsi"/>
                <w:sz w:val="22"/>
                <w:szCs w:val="22"/>
              </w:rPr>
              <w:t>SAEs and SUSARs</w:t>
            </w:r>
            <w:r w:rsidRPr="008F2CCD">
              <w:rPr>
                <w:rFonts w:asciiTheme="minorHAnsi" w:hAnsiTheme="minorHAnsi" w:cstheme="minorHAnsi"/>
                <w:sz w:val="22"/>
                <w:szCs w:val="22"/>
              </w:rPr>
              <w:t xml:space="preserve"> within seven</w:t>
            </w:r>
            <w:r w:rsidR="001E05D3">
              <w:rPr>
                <w:rFonts w:asciiTheme="minorHAnsi" w:hAnsiTheme="minorHAnsi" w:cstheme="minorHAnsi"/>
                <w:sz w:val="22"/>
                <w:szCs w:val="22"/>
              </w:rPr>
              <w:t xml:space="preserve"> </w:t>
            </w:r>
            <w:r w:rsidRPr="008F2CCD">
              <w:rPr>
                <w:rFonts w:asciiTheme="minorHAnsi" w:hAnsiTheme="minorHAnsi" w:cstheme="minorHAnsi"/>
                <w:sz w:val="22"/>
                <w:szCs w:val="22"/>
              </w:rPr>
              <w:t>(7) calendar days using</w:t>
            </w:r>
          </w:p>
          <w:p w14:paraId="0A3D0D46" w14:textId="1D2E8EA9"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 xml:space="preserve">Form </w:t>
            </w:r>
            <w:r w:rsidR="001E05D3">
              <w:rPr>
                <w:rFonts w:asciiTheme="minorHAnsi" w:hAnsiTheme="minorHAnsi" w:cstheme="minorHAnsi"/>
                <w:sz w:val="22"/>
                <w:szCs w:val="22"/>
              </w:rPr>
              <w:t>019</w:t>
            </w:r>
            <w:r w:rsidRPr="008F2CCD">
              <w:rPr>
                <w:rFonts w:asciiTheme="minorHAnsi" w:hAnsiTheme="minorHAnsi" w:cstheme="minorHAnsi"/>
                <w:sz w:val="22"/>
                <w:szCs w:val="22"/>
              </w:rPr>
              <w:t>:</w:t>
            </w:r>
          </w:p>
          <w:p w14:paraId="672A61A4" w14:textId="5ED28C46" w:rsidR="008F2CCD" w:rsidRDefault="001E05D3"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1E05D3">
              <w:rPr>
                <w:rFonts w:asciiTheme="minorHAnsi" w:hAnsiTheme="minorHAnsi" w:cstheme="minorHAnsi"/>
                <w:sz w:val="22"/>
                <w:szCs w:val="22"/>
              </w:rPr>
              <w:t>SAE/SUSAR Report</w:t>
            </w:r>
          </w:p>
        </w:tc>
      </w:tr>
      <w:tr w:rsidR="008F2CCD" w14:paraId="1F4A85A4" w14:textId="77777777" w:rsidTr="008F2CCD">
        <w:tc>
          <w:tcPr>
            <w:tcW w:w="2217" w:type="dxa"/>
          </w:tcPr>
          <w:p w14:paraId="572AA470"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Non-life</w:t>
            </w:r>
          </w:p>
          <w:p w14:paraId="19F33D93"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threatening</w:t>
            </w:r>
          </w:p>
          <w:p w14:paraId="238DDE8F"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serious adverse</w:t>
            </w:r>
          </w:p>
          <w:p w14:paraId="2F760BA9" w14:textId="149FE998"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8F2CCD">
              <w:rPr>
                <w:rFonts w:asciiTheme="minorHAnsi" w:hAnsiTheme="minorHAnsi" w:cstheme="minorHAnsi"/>
                <w:sz w:val="22"/>
                <w:szCs w:val="22"/>
              </w:rPr>
              <w:t>event</w:t>
            </w:r>
          </w:p>
        </w:tc>
        <w:tc>
          <w:tcPr>
            <w:tcW w:w="1246" w:type="dxa"/>
          </w:tcPr>
          <w:p w14:paraId="5EAA0D83" w14:textId="7BC9F22F"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Onsite</w:t>
            </w:r>
          </w:p>
        </w:tc>
        <w:tc>
          <w:tcPr>
            <w:tcW w:w="1559" w:type="dxa"/>
          </w:tcPr>
          <w:p w14:paraId="3CD5407E" w14:textId="7C4E4DC5"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Unexpected</w:t>
            </w:r>
          </w:p>
        </w:tc>
        <w:tc>
          <w:tcPr>
            <w:tcW w:w="3968" w:type="dxa"/>
          </w:tcPr>
          <w:p w14:paraId="41909B9C"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Report non- life-threatening</w:t>
            </w:r>
          </w:p>
          <w:p w14:paraId="63AE96EC"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unexpected ADRs within fifteen</w:t>
            </w:r>
          </w:p>
          <w:p w14:paraId="3BE0C11D"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(15) calendar days using</w:t>
            </w:r>
          </w:p>
          <w:p w14:paraId="5DAA273E" w14:textId="77777777" w:rsidR="001E05D3" w:rsidRPr="001E05D3" w:rsidRDefault="001E05D3" w:rsidP="001E05D3">
            <w:pPr>
              <w:pStyle w:val="FreeForm"/>
              <w:jc w:val="both"/>
              <w:rPr>
                <w:rFonts w:asciiTheme="minorHAnsi" w:hAnsiTheme="minorHAnsi" w:cstheme="minorHAnsi"/>
                <w:sz w:val="22"/>
                <w:szCs w:val="22"/>
              </w:rPr>
            </w:pPr>
            <w:r w:rsidRPr="001E05D3">
              <w:rPr>
                <w:rFonts w:asciiTheme="minorHAnsi" w:hAnsiTheme="minorHAnsi" w:cstheme="minorHAnsi"/>
                <w:sz w:val="22"/>
                <w:szCs w:val="22"/>
              </w:rPr>
              <w:t>Form 019:</w:t>
            </w:r>
          </w:p>
          <w:p w14:paraId="5C17FCCF" w14:textId="63B06C22" w:rsidR="008F2CCD" w:rsidRDefault="001E05D3" w:rsidP="001E05D3">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1E05D3">
              <w:rPr>
                <w:rFonts w:asciiTheme="minorHAnsi" w:hAnsiTheme="minorHAnsi" w:cstheme="minorHAnsi"/>
                <w:sz w:val="22"/>
                <w:szCs w:val="22"/>
              </w:rPr>
              <w:t>SAE/SUSAR Report</w:t>
            </w:r>
          </w:p>
        </w:tc>
      </w:tr>
      <w:tr w:rsidR="008F2CCD" w14:paraId="2C772D0D" w14:textId="77777777" w:rsidTr="008F2CCD">
        <w:tc>
          <w:tcPr>
            <w:tcW w:w="2217" w:type="dxa"/>
          </w:tcPr>
          <w:p w14:paraId="70557FD3"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Non-life</w:t>
            </w:r>
          </w:p>
          <w:p w14:paraId="1B15BD96"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threatening</w:t>
            </w:r>
          </w:p>
          <w:p w14:paraId="2C16E7C1"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serious adverse</w:t>
            </w:r>
          </w:p>
          <w:p w14:paraId="08F5A266" w14:textId="05C59CCD"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8F2CCD">
              <w:rPr>
                <w:rFonts w:asciiTheme="minorHAnsi" w:hAnsiTheme="minorHAnsi" w:cstheme="minorHAnsi"/>
                <w:sz w:val="22"/>
                <w:szCs w:val="22"/>
              </w:rPr>
              <w:t>events</w:t>
            </w:r>
          </w:p>
        </w:tc>
        <w:tc>
          <w:tcPr>
            <w:tcW w:w="1246" w:type="dxa"/>
          </w:tcPr>
          <w:p w14:paraId="5263D0E9" w14:textId="0BA4432A"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Onsite</w:t>
            </w:r>
          </w:p>
        </w:tc>
        <w:tc>
          <w:tcPr>
            <w:tcW w:w="1559" w:type="dxa"/>
          </w:tcPr>
          <w:p w14:paraId="5A525AC7" w14:textId="02974912"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Expected</w:t>
            </w:r>
          </w:p>
        </w:tc>
        <w:tc>
          <w:tcPr>
            <w:tcW w:w="3968" w:type="dxa"/>
          </w:tcPr>
          <w:p w14:paraId="073B2051"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Report a summary listing with</w:t>
            </w:r>
          </w:p>
          <w:p w14:paraId="02536FDA"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an annual report or Final report,</w:t>
            </w:r>
          </w:p>
          <w:p w14:paraId="55F6BDC3"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whichever will be submitted</w:t>
            </w:r>
          </w:p>
          <w:p w14:paraId="24715FDB" w14:textId="75DAC449"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8F2CCD">
              <w:rPr>
                <w:rFonts w:asciiTheme="minorHAnsi" w:hAnsiTheme="minorHAnsi" w:cstheme="minorHAnsi"/>
                <w:sz w:val="22"/>
                <w:szCs w:val="22"/>
              </w:rPr>
              <w:t>earlier.</w:t>
            </w:r>
          </w:p>
        </w:tc>
      </w:tr>
      <w:tr w:rsidR="008F2CCD" w14:paraId="542E8702" w14:textId="77777777" w:rsidTr="008F2CCD">
        <w:tc>
          <w:tcPr>
            <w:tcW w:w="2217" w:type="dxa"/>
          </w:tcPr>
          <w:p w14:paraId="56690891"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Serious adverse</w:t>
            </w:r>
          </w:p>
          <w:p w14:paraId="7308130D" w14:textId="167A8CDA"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8F2CCD">
              <w:rPr>
                <w:rFonts w:asciiTheme="minorHAnsi" w:hAnsiTheme="minorHAnsi" w:cstheme="minorHAnsi"/>
                <w:sz w:val="22"/>
                <w:szCs w:val="22"/>
              </w:rPr>
              <w:t>reaction</w:t>
            </w:r>
          </w:p>
        </w:tc>
        <w:tc>
          <w:tcPr>
            <w:tcW w:w="1246" w:type="dxa"/>
          </w:tcPr>
          <w:p w14:paraId="17CFD6EE" w14:textId="07E2244D"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Off-site</w:t>
            </w:r>
          </w:p>
        </w:tc>
        <w:tc>
          <w:tcPr>
            <w:tcW w:w="1559" w:type="dxa"/>
          </w:tcPr>
          <w:p w14:paraId="1B753005" w14:textId="7F11A46F"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Pr>
                <w:rFonts w:asciiTheme="minorHAnsi" w:hAnsiTheme="minorHAnsi" w:cstheme="minorHAnsi"/>
                <w:sz w:val="22"/>
                <w:szCs w:val="22"/>
              </w:rPr>
              <w:t>Unexpected</w:t>
            </w:r>
          </w:p>
        </w:tc>
        <w:tc>
          <w:tcPr>
            <w:tcW w:w="3968" w:type="dxa"/>
          </w:tcPr>
          <w:p w14:paraId="3D9CDC44"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Report a summary listing with</w:t>
            </w:r>
          </w:p>
          <w:p w14:paraId="45BAE7DB"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an annual report or Final report,</w:t>
            </w:r>
          </w:p>
          <w:p w14:paraId="2E5D9D84" w14:textId="77777777" w:rsidR="008F2CCD" w:rsidRPr="008F2CCD" w:rsidRDefault="008F2CCD" w:rsidP="008F2CCD">
            <w:pPr>
              <w:pStyle w:val="FreeForm"/>
              <w:jc w:val="both"/>
              <w:rPr>
                <w:rFonts w:asciiTheme="minorHAnsi" w:hAnsiTheme="minorHAnsi" w:cstheme="minorHAnsi"/>
                <w:sz w:val="22"/>
                <w:szCs w:val="22"/>
              </w:rPr>
            </w:pPr>
            <w:r w:rsidRPr="008F2CCD">
              <w:rPr>
                <w:rFonts w:asciiTheme="minorHAnsi" w:hAnsiTheme="minorHAnsi" w:cstheme="minorHAnsi"/>
                <w:sz w:val="22"/>
                <w:szCs w:val="22"/>
              </w:rPr>
              <w:t>whichever will be submitted</w:t>
            </w:r>
          </w:p>
          <w:p w14:paraId="79BFF532" w14:textId="5870AC70" w:rsidR="008F2CCD" w:rsidRDefault="008F2CCD" w:rsidP="008F2CCD">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8F2CCD">
              <w:rPr>
                <w:rFonts w:asciiTheme="minorHAnsi" w:hAnsiTheme="minorHAnsi" w:cstheme="minorHAnsi"/>
                <w:sz w:val="22"/>
                <w:szCs w:val="22"/>
              </w:rPr>
              <w:t>earlier.</w:t>
            </w:r>
          </w:p>
        </w:tc>
      </w:tr>
    </w:tbl>
    <w:p w14:paraId="0891BCD8" w14:textId="77777777" w:rsidR="008F2CCD" w:rsidRDefault="008F2CCD" w:rsidP="008F2CCD">
      <w:pPr>
        <w:pStyle w:val="FreeForm"/>
        <w:ind w:left="360"/>
        <w:jc w:val="both"/>
        <w:rPr>
          <w:rFonts w:asciiTheme="minorHAnsi" w:hAnsiTheme="minorHAnsi" w:cstheme="minorHAnsi"/>
          <w:sz w:val="22"/>
          <w:szCs w:val="22"/>
        </w:rPr>
      </w:pPr>
    </w:p>
    <w:p w14:paraId="0ECB52C4" w14:textId="77777777" w:rsidR="00F716AF" w:rsidRDefault="00F716AF" w:rsidP="007C4477">
      <w:pPr>
        <w:pStyle w:val="FreeForm"/>
        <w:spacing w:line="276" w:lineRule="auto"/>
        <w:jc w:val="both"/>
        <w:rPr>
          <w:rFonts w:asciiTheme="minorHAnsi" w:hAnsiTheme="minorHAnsi" w:cstheme="minorHAnsi"/>
          <w:sz w:val="22"/>
          <w:szCs w:val="22"/>
        </w:rPr>
      </w:pPr>
    </w:p>
    <w:p w14:paraId="62B46C35" w14:textId="45274693" w:rsidR="007C4477" w:rsidRPr="00357FA5" w:rsidRDefault="007C4477" w:rsidP="007C4477">
      <w:pPr>
        <w:pStyle w:val="FreeForm"/>
        <w:spacing w:line="276" w:lineRule="auto"/>
        <w:jc w:val="both"/>
        <w:rPr>
          <w:rFonts w:asciiTheme="minorHAnsi" w:eastAsia="Times" w:hAnsiTheme="minorHAnsi" w:cstheme="minorHAnsi"/>
          <w:sz w:val="22"/>
          <w:szCs w:val="22"/>
        </w:rPr>
      </w:pPr>
      <w:r w:rsidRPr="00357FA5">
        <w:rPr>
          <w:rFonts w:asciiTheme="minorHAnsi" w:hAnsiTheme="minorHAnsi" w:cstheme="minorHAnsi"/>
          <w:sz w:val="22"/>
          <w:szCs w:val="22"/>
        </w:rPr>
        <w:t>Step 2 - Retrieval of pertinent protocol file: The Staff retrieves the identity of the primary reviewers (if there is no SAE/SUSAR subcommittee) and a tabulation of earlier SAE/SUSAR reports.</w:t>
      </w:r>
    </w:p>
    <w:p w14:paraId="3EA809B7" w14:textId="77777777" w:rsidR="007C4477" w:rsidRPr="00357FA5" w:rsidRDefault="007C4477" w:rsidP="007C4477">
      <w:pPr>
        <w:pStyle w:val="FreeForm"/>
        <w:spacing w:line="276" w:lineRule="auto"/>
        <w:jc w:val="both"/>
        <w:rPr>
          <w:rFonts w:asciiTheme="minorHAnsi" w:eastAsia="Times" w:hAnsiTheme="minorHAnsi" w:cstheme="minorHAnsi"/>
          <w:sz w:val="22"/>
          <w:szCs w:val="22"/>
        </w:rPr>
      </w:pPr>
    </w:p>
    <w:p w14:paraId="4F8990DD" w14:textId="36530B7C" w:rsidR="007C4477" w:rsidRPr="00357FA5" w:rsidRDefault="007C4477" w:rsidP="007C4477">
      <w:pPr>
        <w:pStyle w:val="FreeForm"/>
        <w:spacing w:line="276" w:lineRule="auto"/>
        <w:jc w:val="both"/>
        <w:rPr>
          <w:rFonts w:asciiTheme="minorHAnsi" w:eastAsia="Times" w:hAnsiTheme="minorHAnsi" w:cstheme="minorHAnsi"/>
          <w:sz w:val="22"/>
          <w:szCs w:val="22"/>
        </w:rPr>
      </w:pPr>
      <w:r w:rsidRPr="00357FA5">
        <w:rPr>
          <w:rFonts w:asciiTheme="minorHAnsi" w:hAnsiTheme="minorHAnsi" w:cstheme="minorHAnsi"/>
          <w:sz w:val="22"/>
          <w:szCs w:val="22"/>
        </w:rPr>
        <w:t xml:space="preserve">Step 3 - Notification of Chair: The Staff notifies and sends the report and the retrieved documents to the Chair. </w:t>
      </w:r>
    </w:p>
    <w:p w14:paraId="6B8750E3" w14:textId="77777777" w:rsidR="007C4477" w:rsidRPr="00357FA5" w:rsidRDefault="007C4477" w:rsidP="007C4477">
      <w:pPr>
        <w:pStyle w:val="FreeForm"/>
        <w:spacing w:line="276" w:lineRule="auto"/>
        <w:jc w:val="both"/>
        <w:rPr>
          <w:rFonts w:asciiTheme="minorHAnsi" w:eastAsia="Times" w:hAnsiTheme="minorHAnsi" w:cstheme="minorHAnsi"/>
          <w:sz w:val="22"/>
          <w:szCs w:val="22"/>
        </w:rPr>
      </w:pPr>
    </w:p>
    <w:p w14:paraId="4137162A" w14:textId="0BE06B9A" w:rsidR="007C4477" w:rsidRPr="00357FA5" w:rsidRDefault="007C4477" w:rsidP="007C4477">
      <w:pPr>
        <w:pStyle w:val="FreeForm"/>
        <w:spacing w:line="276" w:lineRule="auto"/>
        <w:jc w:val="both"/>
        <w:rPr>
          <w:rFonts w:asciiTheme="minorHAnsi" w:eastAsia="Times" w:hAnsiTheme="minorHAnsi" w:cstheme="minorHAnsi"/>
          <w:sz w:val="22"/>
          <w:szCs w:val="22"/>
        </w:rPr>
      </w:pPr>
      <w:r w:rsidRPr="00357FA5">
        <w:rPr>
          <w:rFonts w:asciiTheme="minorHAnsi" w:hAnsiTheme="minorHAnsi" w:cstheme="minorHAnsi"/>
          <w:sz w:val="22"/>
          <w:szCs w:val="22"/>
        </w:rPr>
        <w:t xml:space="preserve">Step 4 - Submission of report to </w:t>
      </w:r>
      <w:r w:rsidR="00B679E9">
        <w:rPr>
          <w:rFonts w:asciiTheme="minorHAnsi" w:hAnsiTheme="minorHAnsi" w:cstheme="minorHAnsi"/>
          <w:sz w:val="22"/>
          <w:szCs w:val="22"/>
        </w:rPr>
        <w:t>REC</w:t>
      </w:r>
      <w:r w:rsidRPr="00357FA5">
        <w:rPr>
          <w:rFonts w:asciiTheme="minorHAnsi" w:hAnsiTheme="minorHAnsi" w:cstheme="minorHAnsi"/>
          <w:sz w:val="22"/>
          <w:szCs w:val="22"/>
        </w:rPr>
        <w:t xml:space="preserve">: The Chair forwards the report and pertinent documents to the primary reviewers for action which should not be later than 3 days prior to the next committee meeting. </w:t>
      </w:r>
    </w:p>
    <w:p w14:paraId="795A3347" w14:textId="77777777" w:rsidR="007C4477" w:rsidRPr="00357FA5" w:rsidRDefault="007C4477" w:rsidP="007C4477">
      <w:pPr>
        <w:pStyle w:val="FreeForm"/>
        <w:spacing w:line="276" w:lineRule="auto"/>
        <w:jc w:val="both"/>
        <w:rPr>
          <w:rFonts w:asciiTheme="minorHAnsi" w:eastAsia="Times" w:hAnsiTheme="minorHAnsi" w:cstheme="minorHAnsi"/>
          <w:sz w:val="22"/>
          <w:szCs w:val="22"/>
        </w:rPr>
      </w:pPr>
    </w:p>
    <w:p w14:paraId="146E2BD3" w14:textId="43544B87" w:rsidR="007C4477" w:rsidRPr="00357FA5" w:rsidRDefault="007C4477" w:rsidP="007C4477">
      <w:pPr>
        <w:pStyle w:val="FreeForm"/>
        <w:spacing w:line="276" w:lineRule="auto"/>
        <w:jc w:val="both"/>
        <w:rPr>
          <w:rFonts w:asciiTheme="minorHAnsi" w:eastAsia="Times" w:hAnsiTheme="minorHAnsi" w:cstheme="minorHAnsi"/>
          <w:sz w:val="22"/>
          <w:szCs w:val="22"/>
        </w:rPr>
      </w:pPr>
      <w:r w:rsidRPr="00357FA5">
        <w:rPr>
          <w:rFonts w:asciiTheme="minorHAnsi" w:hAnsiTheme="minorHAnsi" w:cstheme="minorHAnsi"/>
          <w:sz w:val="22"/>
          <w:szCs w:val="22"/>
        </w:rPr>
        <w:t xml:space="preserve">Step 5 - Inclusion of report in REC meeting agenda: The suggested action/decision of the primary reviewer is included in the Agenda of the next meeting (see SOP on Preparing the Meeting Agenda). for ratification or discussion and final decision. Possible actions include: notation with no further action required, further information or action required or suspension of recruitment. </w:t>
      </w:r>
    </w:p>
    <w:p w14:paraId="6193E909" w14:textId="77777777" w:rsidR="007C4477" w:rsidRPr="00357FA5" w:rsidRDefault="007C4477" w:rsidP="007C4477">
      <w:pPr>
        <w:pStyle w:val="FreeForm"/>
        <w:spacing w:line="276" w:lineRule="auto"/>
        <w:jc w:val="both"/>
        <w:rPr>
          <w:rFonts w:asciiTheme="minorHAnsi" w:eastAsia="Times" w:hAnsiTheme="minorHAnsi" w:cstheme="minorHAnsi"/>
          <w:sz w:val="22"/>
          <w:szCs w:val="22"/>
        </w:rPr>
      </w:pPr>
    </w:p>
    <w:p w14:paraId="025FDEA2" w14:textId="4D950AF7" w:rsidR="007C4477" w:rsidRPr="00357FA5" w:rsidRDefault="007C4477" w:rsidP="007C4477">
      <w:pPr>
        <w:pStyle w:val="FreeForm"/>
        <w:spacing w:line="276" w:lineRule="auto"/>
        <w:jc w:val="both"/>
        <w:rPr>
          <w:rFonts w:asciiTheme="minorHAnsi" w:eastAsia="Times" w:hAnsiTheme="minorHAnsi" w:cstheme="minorHAnsi"/>
          <w:sz w:val="22"/>
          <w:szCs w:val="22"/>
        </w:rPr>
      </w:pPr>
      <w:r w:rsidRPr="00357FA5">
        <w:rPr>
          <w:rFonts w:asciiTheme="minorHAnsi" w:hAnsiTheme="minorHAnsi" w:cstheme="minorHAnsi"/>
          <w:sz w:val="22"/>
          <w:szCs w:val="22"/>
        </w:rPr>
        <w:t>Step 6 - Communication of REC recommendation to the Principal Investigator/researcher: See SOP</w:t>
      </w:r>
      <w:r w:rsidR="00003139" w:rsidRPr="00357FA5">
        <w:rPr>
          <w:rFonts w:asciiTheme="minorHAnsi" w:hAnsiTheme="minorHAnsi" w:cstheme="minorHAnsi"/>
          <w:sz w:val="22"/>
          <w:szCs w:val="22"/>
        </w:rPr>
        <w:t xml:space="preserve"> </w:t>
      </w:r>
      <w:r w:rsidRPr="00357FA5">
        <w:rPr>
          <w:rFonts w:asciiTheme="minorHAnsi" w:hAnsiTheme="minorHAnsi" w:cstheme="minorHAnsi"/>
          <w:sz w:val="22"/>
          <w:szCs w:val="22"/>
        </w:rPr>
        <w:t>on Communicating REC decisions.</w:t>
      </w:r>
    </w:p>
    <w:p w14:paraId="32EC9098" w14:textId="77777777" w:rsidR="007C4477" w:rsidRPr="00357FA5" w:rsidRDefault="007C4477" w:rsidP="007C4477">
      <w:pPr>
        <w:pStyle w:val="FreeForm"/>
        <w:spacing w:line="276" w:lineRule="auto"/>
        <w:jc w:val="both"/>
        <w:rPr>
          <w:rFonts w:asciiTheme="minorHAnsi" w:eastAsia="Times" w:hAnsiTheme="minorHAnsi" w:cstheme="minorHAnsi"/>
          <w:sz w:val="22"/>
          <w:szCs w:val="22"/>
        </w:rPr>
      </w:pPr>
    </w:p>
    <w:p w14:paraId="3873E359" w14:textId="773B3320" w:rsidR="007C4477" w:rsidRPr="00357FA5" w:rsidRDefault="007C4477" w:rsidP="007C4477">
      <w:pPr>
        <w:pStyle w:val="FreeForm"/>
        <w:spacing w:after="240" w:line="276" w:lineRule="auto"/>
        <w:jc w:val="both"/>
        <w:rPr>
          <w:rFonts w:asciiTheme="minorHAnsi" w:hAnsiTheme="minorHAnsi" w:cstheme="minorHAnsi"/>
          <w:sz w:val="22"/>
          <w:szCs w:val="22"/>
        </w:rPr>
      </w:pPr>
      <w:r w:rsidRPr="00357FA5">
        <w:rPr>
          <w:rFonts w:asciiTheme="minorHAnsi" w:hAnsiTheme="minorHAnsi" w:cstheme="minorHAnsi"/>
          <w:sz w:val="22"/>
          <w:szCs w:val="22"/>
        </w:rPr>
        <w:t>Step 7 - Filing of all related documents and update of the protocol database: See SOP on Managing Active Files (SOP#</w:t>
      </w:r>
      <w:r w:rsidR="00003139" w:rsidRPr="00357FA5">
        <w:rPr>
          <w:rFonts w:asciiTheme="minorHAnsi" w:hAnsiTheme="minorHAnsi" w:cstheme="minorHAnsi"/>
          <w:sz w:val="22"/>
          <w:szCs w:val="22"/>
        </w:rPr>
        <w:t xml:space="preserve"> 23</w:t>
      </w:r>
      <w:r w:rsidRPr="00357FA5">
        <w:rPr>
          <w:rFonts w:asciiTheme="minorHAnsi" w:hAnsiTheme="minorHAnsi" w:cstheme="minorHAnsi"/>
          <w:sz w:val="22"/>
          <w:szCs w:val="22"/>
        </w:rPr>
        <w:t>).</w:t>
      </w: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22212DF0" w14:textId="2CED90F6" w:rsidR="007C4477" w:rsidRPr="007C4477" w:rsidRDefault="00BF0550" w:rsidP="007C4477">
      <w:pPr>
        <w:pStyle w:val="FreeForm"/>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11B </w:t>
      </w:r>
      <w:r w:rsidR="007C4477" w:rsidRPr="007C4477">
        <w:rPr>
          <w:rFonts w:asciiTheme="minorHAnsi" w:hAnsiTheme="minorHAnsi" w:cstheme="minorHAnsi"/>
          <w:sz w:val="22"/>
          <w:szCs w:val="22"/>
        </w:rPr>
        <w:t xml:space="preserve">Form  </w:t>
      </w:r>
      <w:r w:rsidR="007C383F">
        <w:rPr>
          <w:rFonts w:asciiTheme="minorHAnsi" w:hAnsiTheme="minorHAnsi" w:cstheme="minorHAnsi"/>
          <w:sz w:val="22"/>
          <w:szCs w:val="22"/>
        </w:rPr>
        <w:t xml:space="preserve">019 </w:t>
      </w:r>
      <w:r w:rsidR="007C4477" w:rsidRPr="007C4477">
        <w:rPr>
          <w:rFonts w:asciiTheme="minorHAnsi" w:hAnsiTheme="minorHAnsi" w:cstheme="minorHAnsi"/>
          <w:sz w:val="22"/>
          <w:szCs w:val="22"/>
          <w:lang w:val="fr-FR"/>
        </w:rPr>
        <w:t>SAE/SUSAR Report</w:t>
      </w:r>
    </w:p>
    <w:p w14:paraId="615F3CAC" w14:textId="46533477" w:rsidR="00312F49" w:rsidRDefault="007C4477" w:rsidP="007C4477">
      <w:pPr>
        <w:spacing w:after="0" w:line="240" w:lineRule="auto"/>
        <w:ind w:firstLine="720"/>
        <w:rPr>
          <w:rFonts w:cstheme="minorHAnsi"/>
        </w:rPr>
      </w:pPr>
      <w:r w:rsidRPr="007C4477">
        <w:rPr>
          <w:rFonts w:cstheme="minorHAnsi"/>
        </w:rPr>
        <w:t xml:space="preserve">Form </w:t>
      </w:r>
      <w:r w:rsidR="007C383F">
        <w:rPr>
          <w:rFonts w:cstheme="minorHAnsi"/>
        </w:rPr>
        <w:t xml:space="preserve">008 </w:t>
      </w:r>
      <w:r w:rsidRPr="007C4477">
        <w:rPr>
          <w:rFonts w:cstheme="minorHAnsi"/>
        </w:rPr>
        <w:t>REC Decision Letter</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832C34">
        <w:tc>
          <w:tcPr>
            <w:tcW w:w="1555" w:type="dxa"/>
          </w:tcPr>
          <w:p w14:paraId="3A1D4721" w14:textId="77777777" w:rsidR="00951D64" w:rsidRDefault="00951D64" w:rsidP="00832C34">
            <w:pPr>
              <w:rPr>
                <w:rFonts w:cstheme="minorHAnsi"/>
                <w:b/>
              </w:rPr>
            </w:pPr>
            <w:r>
              <w:rPr>
                <w:rFonts w:cstheme="minorHAnsi"/>
                <w:b/>
              </w:rPr>
              <w:t>Version No.</w:t>
            </w:r>
          </w:p>
        </w:tc>
        <w:tc>
          <w:tcPr>
            <w:tcW w:w="1984" w:type="dxa"/>
          </w:tcPr>
          <w:p w14:paraId="103E8778" w14:textId="77777777" w:rsidR="00951D64" w:rsidRDefault="00951D64" w:rsidP="00832C34">
            <w:pPr>
              <w:rPr>
                <w:rFonts w:cstheme="minorHAnsi"/>
                <w:b/>
              </w:rPr>
            </w:pPr>
            <w:r>
              <w:rPr>
                <w:rFonts w:cstheme="minorHAnsi"/>
                <w:b/>
              </w:rPr>
              <w:t>Date</w:t>
            </w:r>
          </w:p>
        </w:tc>
        <w:tc>
          <w:tcPr>
            <w:tcW w:w="2410" w:type="dxa"/>
          </w:tcPr>
          <w:p w14:paraId="49DFCF33" w14:textId="77777777" w:rsidR="00951D64" w:rsidRDefault="00951D64" w:rsidP="00832C34">
            <w:pPr>
              <w:rPr>
                <w:rFonts w:cstheme="minorHAnsi"/>
                <w:b/>
              </w:rPr>
            </w:pPr>
            <w:r>
              <w:rPr>
                <w:rFonts w:cstheme="minorHAnsi"/>
                <w:b/>
              </w:rPr>
              <w:t>Authors</w:t>
            </w:r>
          </w:p>
        </w:tc>
        <w:tc>
          <w:tcPr>
            <w:tcW w:w="3401" w:type="dxa"/>
          </w:tcPr>
          <w:p w14:paraId="2A1CB1BE" w14:textId="77777777" w:rsidR="00951D64" w:rsidRDefault="00951D64" w:rsidP="00832C34">
            <w:pPr>
              <w:rPr>
                <w:rFonts w:cstheme="minorHAnsi"/>
                <w:b/>
              </w:rPr>
            </w:pPr>
            <w:r>
              <w:rPr>
                <w:rFonts w:cstheme="minorHAnsi"/>
                <w:b/>
              </w:rPr>
              <w:t>Main Change</w:t>
            </w:r>
          </w:p>
        </w:tc>
      </w:tr>
      <w:tr w:rsidR="00666717" w14:paraId="2D8F1BD0" w14:textId="77777777" w:rsidTr="00832C34">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33483229" w:rsidR="00666717" w:rsidRDefault="00B66812" w:rsidP="00666717">
            <w:pPr>
              <w:rPr>
                <w:rFonts w:cstheme="minorHAnsi"/>
                <w:b/>
              </w:rPr>
            </w:pPr>
            <w:r w:rsidRPr="00711CBA">
              <w:rPr>
                <w:rFonts w:cstheme="minorHAnsi"/>
              </w:rPr>
              <w:t>01/28/2015</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8252E8" w14:paraId="594D7201" w14:textId="77777777" w:rsidTr="00832C34">
        <w:tc>
          <w:tcPr>
            <w:tcW w:w="1555" w:type="dxa"/>
          </w:tcPr>
          <w:p w14:paraId="048AD328" w14:textId="353C24C5" w:rsidR="008252E8" w:rsidRPr="00DF7BAD" w:rsidRDefault="008252E8" w:rsidP="00666717">
            <w:pPr>
              <w:rPr>
                <w:rFonts w:cstheme="minorHAnsi"/>
                <w:bCs/>
              </w:rPr>
            </w:pPr>
            <w:r>
              <w:rPr>
                <w:rFonts w:cstheme="minorHAnsi"/>
                <w:bCs/>
              </w:rPr>
              <w:t>02</w:t>
            </w:r>
          </w:p>
        </w:tc>
        <w:tc>
          <w:tcPr>
            <w:tcW w:w="1984" w:type="dxa"/>
          </w:tcPr>
          <w:p w14:paraId="5CD3684A" w14:textId="136E7525" w:rsidR="008252E8" w:rsidRPr="00711CBA" w:rsidRDefault="000D171D" w:rsidP="00666717">
            <w:pPr>
              <w:rPr>
                <w:rFonts w:cstheme="minorHAnsi"/>
              </w:rPr>
            </w:pPr>
            <w:r>
              <w:rPr>
                <w:rFonts w:cstheme="minorHAnsi"/>
              </w:rPr>
              <w:t>06/21/2019</w:t>
            </w:r>
          </w:p>
        </w:tc>
        <w:tc>
          <w:tcPr>
            <w:tcW w:w="2410" w:type="dxa"/>
          </w:tcPr>
          <w:p w14:paraId="3554D904" w14:textId="2A62C181" w:rsidR="008252E8" w:rsidRPr="008252E8" w:rsidRDefault="008252E8" w:rsidP="00666717">
            <w:pPr>
              <w:rPr>
                <w:rFonts w:cstheme="minorHAnsi"/>
                <w:bCs/>
              </w:rPr>
            </w:pPr>
            <w:r w:rsidRPr="008252E8">
              <w:rPr>
                <w:rFonts w:cstheme="minorHAnsi"/>
                <w:bCs/>
              </w:rPr>
              <w:t>krva</w:t>
            </w:r>
          </w:p>
        </w:tc>
        <w:tc>
          <w:tcPr>
            <w:tcW w:w="3401" w:type="dxa"/>
          </w:tcPr>
          <w:p w14:paraId="13164B24" w14:textId="29549B9C" w:rsidR="008252E8" w:rsidRPr="000D171D" w:rsidRDefault="000D171D" w:rsidP="008252E8">
            <w:pPr>
              <w:rPr>
                <w:rFonts w:cstheme="minorHAnsi"/>
                <w:bCs/>
                <w:sz w:val="24"/>
                <w:szCs w:val="24"/>
              </w:rPr>
            </w:pPr>
            <w:r>
              <w:rPr>
                <w:rFonts w:cstheme="minorHAnsi"/>
                <w:bCs/>
                <w:sz w:val="24"/>
                <w:szCs w:val="24"/>
              </w:rPr>
              <w:t>Inclusion of Reportable Negative Events (RNE)</w:t>
            </w:r>
            <w:r w:rsidR="00357FA5">
              <w:rPr>
                <w:rFonts w:cstheme="minorHAnsi"/>
                <w:bCs/>
                <w:sz w:val="24"/>
                <w:szCs w:val="24"/>
              </w:rPr>
              <w:t xml:space="preserve"> in SOP on SAE, SUSAR</w:t>
            </w:r>
          </w:p>
        </w:tc>
      </w:tr>
      <w:tr w:rsidR="00666717" w14:paraId="0DFA7B33" w14:textId="77777777" w:rsidTr="00832C34">
        <w:tc>
          <w:tcPr>
            <w:tcW w:w="1555" w:type="dxa"/>
          </w:tcPr>
          <w:p w14:paraId="67D04721" w14:textId="70BAC183" w:rsidR="00666717" w:rsidRPr="00F36643" w:rsidRDefault="00666717" w:rsidP="00666717">
            <w:pPr>
              <w:rPr>
                <w:rFonts w:cstheme="minorHAnsi"/>
                <w:bCs/>
              </w:rPr>
            </w:pPr>
            <w:r w:rsidRPr="00F36643">
              <w:rPr>
                <w:rFonts w:cstheme="minorHAnsi"/>
                <w:bCs/>
              </w:rPr>
              <w:t>0</w:t>
            </w:r>
            <w:r w:rsidR="008252E8">
              <w:rPr>
                <w:rFonts w:cstheme="minorHAnsi"/>
                <w:bCs/>
              </w:rPr>
              <w:t>3</w:t>
            </w:r>
          </w:p>
        </w:tc>
        <w:tc>
          <w:tcPr>
            <w:tcW w:w="1984" w:type="dxa"/>
          </w:tcPr>
          <w:p w14:paraId="3C45B373" w14:textId="6B7BF37C" w:rsidR="00666717" w:rsidRPr="00F36643" w:rsidRDefault="000A3F71" w:rsidP="00666717">
            <w:pPr>
              <w:rPr>
                <w:rFonts w:cstheme="minorHAnsi"/>
                <w:bCs/>
              </w:rPr>
            </w:pPr>
            <w:r>
              <w:rPr>
                <w:rFonts w:cstheme="minorHAnsi"/>
                <w:bCs/>
              </w:rPr>
              <w:t>09/2</w:t>
            </w:r>
            <w:r w:rsidR="000D171D">
              <w:rPr>
                <w:rFonts w:cstheme="minorHAnsi"/>
                <w:bCs/>
              </w:rPr>
              <w:t>6</w:t>
            </w:r>
            <w:r>
              <w:rPr>
                <w:rFonts w:cstheme="minorHAnsi"/>
                <w:bCs/>
              </w:rPr>
              <w:t>/2022</w:t>
            </w:r>
          </w:p>
        </w:tc>
        <w:tc>
          <w:tcPr>
            <w:tcW w:w="2410" w:type="dxa"/>
          </w:tcPr>
          <w:p w14:paraId="59022349" w14:textId="1B731828" w:rsidR="00666717" w:rsidRPr="00F36643" w:rsidRDefault="00666717" w:rsidP="00666717">
            <w:pPr>
              <w:rPr>
                <w:rFonts w:cstheme="minorHAnsi"/>
                <w:bCs/>
              </w:rPr>
            </w:pPr>
            <w:r>
              <w:rPr>
                <w:rFonts w:cstheme="minorHAnsi"/>
                <w:bCs/>
              </w:rPr>
              <w:t>krva</w:t>
            </w:r>
          </w:p>
        </w:tc>
        <w:tc>
          <w:tcPr>
            <w:tcW w:w="3401" w:type="dxa"/>
          </w:tcPr>
          <w:p w14:paraId="42107F8F" w14:textId="05695E4B" w:rsidR="00666717" w:rsidRPr="00F36643" w:rsidRDefault="00357FA5" w:rsidP="00666717">
            <w:pPr>
              <w:rPr>
                <w:rFonts w:cstheme="minorHAnsi"/>
                <w:bCs/>
              </w:rPr>
            </w:pPr>
            <w:r>
              <w:rPr>
                <w:rFonts w:cstheme="minorHAnsi"/>
                <w:bCs/>
              </w:rPr>
              <w:t>Revision of SOP on SAE, SUSAR</w:t>
            </w:r>
          </w:p>
        </w:tc>
      </w:tr>
      <w:tr w:rsidR="009D3CCF" w14:paraId="2B1A9AE6" w14:textId="77777777" w:rsidTr="00832C34">
        <w:tc>
          <w:tcPr>
            <w:tcW w:w="1555" w:type="dxa"/>
          </w:tcPr>
          <w:p w14:paraId="7E4CB909" w14:textId="609FC59D" w:rsidR="009D3CCF" w:rsidRPr="00F36643" w:rsidRDefault="009D3CCF" w:rsidP="00666717">
            <w:pPr>
              <w:rPr>
                <w:rFonts w:cstheme="minorHAnsi"/>
                <w:bCs/>
              </w:rPr>
            </w:pPr>
            <w:r>
              <w:rPr>
                <w:rFonts w:cstheme="minorHAnsi"/>
                <w:bCs/>
              </w:rPr>
              <w:t>04</w:t>
            </w:r>
          </w:p>
        </w:tc>
        <w:tc>
          <w:tcPr>
            <w:tcW w:w="1984" w:type="dxa"/>
          </w:tcPr>
          <w:p w14:paraId="60639297" w14:textId="27F2FD13" w:rsidR="009D3CCF" w:rsidRDefault="009D3CCF" w:rsidP="00666717">
            <w:pPr>
              <w:rPr>
                <w:rFonts w:cstheme="minorHAnsi"/>
                <w:bCs/>
              </w:rPr>
            </w:pPr>
            <w:r>
              <w:rPr>
                <w:rFonts w:cstheme="minorHAnsi"/>
                <w:bCs/>
              </w:rPr>
              <w:t>02/08/2024</w:t>
            </w:r>
          </w:p>
        </w:tc>
        <w:tc>
          <w:tcPr>
            <w:tcW w:w="2410" w:type="dxa"/>
          </w:tcPr>
          <w:p w14:paraId="66FBA2AA" w14:textId="5BFBB7D2" w:rsidR="009D3CCF" w:rsidRDefault="009D3CCF" w:rsidP="00666717">
            <w:pPr>
              <w:rPr>
                <w:rFonts w:cstheme="minorHAnsi"/>
                <w:bCs/>
              </w:rPr>
            </w:pPr>
            <w:r>
              <w:rPr>
                <w:rFonts w:cstheme="minorHAnsi"/>
                <w:bCs/>
              </w:rPr>
              <w:t>krva</w:t>
            </w:r>
          </w:p>
        </w:tc>
        <w:tc>
          <w:tcPr>
            <w:tcW w:w="3401" w:type="dxa"/>
          </w:tcPr>
          <w:p w14:paraId="5E9C3E9B" w14:textId="6D21FC1B" w:rsidR="009D3CCF" w:rsidRDefault="009D3CCF" w:rsidP="00666717">
            <w:pPr>
              <w:rPr>
                <w:rFonts w:cstheme="minorHAnsi"/>
                <w:bCs/>
              </w:rPr>
            </w:pPr>
            <w:r>
              <w:rPr>
                <w:rFonts w:cstheme="minorHAnsi"/>
                <w:bCs/>
              </w:rPr>
              <w:t>DOH/FDA timelines</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8A7F" w14:textId="77777777" w:rsidR="00742F03" w:rsidRDefault="00742F03" w:rsidP="000F5BBB">
      <w:pPr>
        <w:spacing w:after="0" w:line="240" w:lineRule="auto"/>
      </w:pPr>
      <w:r>
        <w:separator/>
      </w:r>
    </w:p>
  </w:endnote>
  <w:endnote w:type="continuationSeparator" w:id="0">
    <w:p w14:paraId="3C604CC2" w14:textId="77777777" w:rsidR="00742F03" w:rsidRDefault="00742F03"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EF33" w14:textId="77777777" w:rsidR="00742F03" w:rsidRDefault="00742F03" w:rsidP="000F5BBB">
      <w:pPr>
        <w:spacing w:after="0" w:line="240" w:lineRule="auto"/>
      </w:pPr>
      <w:r>
        <w:separator/>
      </w:r>
    </w:p>
  </w:footnote>
  <w:footnote w:type="continuationSeparator" w:id="0">
    <w:p w14:paraId="01EB0E4D" w14:textId="77777777" w:rsidR="00742F03" w:rsidRDefault="00742F03"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5E56" w14:textId="77777777" w:rsidR="00681B43" w:rsidRDefault="00681B4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3C814852"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914630">
            <w:rPr>
              <w:rFonts w:ascii="Palatino Linotype" w:hAnsi="Palatino Linotype"/>
              <w:b/>
              <w:sz w:val="28"/>
              <w:szCs w:val="32"/>
            </w:rPr>
            <w:t>1</w:t>
          </w:r>
          <w:r w:rsidR="006322CA">
            <w:rPr>
              <w:rFonts w:ascii="Palatino Linotype" w:hAnsi="Palatino Linotype"/>
              <w:b/>
              <w:sz w:val="28"/>
              <w:szCs w:val="32"/>
            </w:rPr>
            <w:t>B</w:t>
          </w:r>
        </w:p>
        <w:p w14:paraId="3C3BB7F2" w14:textId="26B132A5" w:rsidR="00834FC3" w:rsidRPr="00F93EE5" w:rsidRDefault="00241FED" w:rsidP="00DE543B">
          <w:pPr>
            <w:pStyle w:val="FreeForm"/>
            <w:spacing w:line="276" w:lineRule="auto"/>
            <w:jc w:val="center"/>
            <w:rPr>
              <w:rFonts w:ascii="Trebuchet MS" w:hAnsi="Trebuchet MS"/>
              <w:color w:val="auto"/>
              <w:sz w:val="22"/>
              <w:szCs w:val="22"/>
            </w:rPr>
          </w:pPr>
          <w:r>
            <w:rPr>
              <w:rFonts w:ascii="Palatino Linotype" w:hAnsi="Palatino Linotype"/>
              <w:b/>
              <w:sz w:val="28"/>
              <w:szCs w:val="32"/>
            </w:rPr>
            <w:t xml:space="preserve">Review of SAEs and SUSARs  </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26CE16F7"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9D3CCF">
            <w:rPr>
              <w:rFonts w:ascii="Palatino Linotype" w:hAnsi="Palatino Linotype"/>
              <w:color w:val="auto"/>
              <w:sz w:val="22"/>
              <w:szCs w:val="22"/>
            </w:rPr>
            <w:t>4</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24405A43"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7FB1C25"/>
    <w:multiLevelType w:val="hybridMultilevel"/>
    <w:tmpl w:val="06CE479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5"/>
  </w:num>
  <w:num w:numId="5" w16cid:durableId="1750498920">
    <w:abstractNumId w:val="1"/>
  </w:num>
  <w:num w:numId="6" w16cid:durableId="107763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33616"/>
    <w:rsid w:val="00085131"/>
    <w:rsid w:val="00092E70"/>
    <w:rsid w:val="000A3F71"/>
    <w:rsid w:val="000D171D"/>
    <w:rsid w:val="000E5808"/>
    <w:rsid w:val="000E59F4"/>
    <w:rsid w:val="000F5BBB"/>
    <w:rsid w:val="000F5EBF"/>
    <w:rsid w:val="0010674E"/>
    <w:rsid w:val="00116664"/>
    <w:rsid w:val="00192295"/>
    <w:rsid w:val="001E05D3"/>
    <w:rsid w:val="00201CBC"/>
    <w:rsid w:val="00241FED"/>
    <w:rsid w:val="002943B1"/>
    <w:rsid w:val="00312F49"/>
    <w:rsid w:val="00313032"/>
    <w:rsid w:val="003205B8"/>
    <w:rsid w:val="003319AA"/>
    <w:rsid w:val="0033682D"/>
    <w:rsid w:val="00357FA5"/>
    <w:rsid w:val="003F00C4"/>
    <w:rsid w:val="004035E7"/>
    <w:rsid w:val="00452E21"/>
    <w:rsid w:val="004A17E5"/>
    <w:rsid w:val="004C432A"/>
    <w:rsid w:val="004E1064"/>
    <w:rsid w:val="004E2CFA"/>
    <w:rsid w:val="004F45C4"/>
    <w:rsid w:val="004F5DBC"/>
    <w:rsid w:val="005246F6"/>
    <w:rsid w:val="005407B5"/>
    <w:rsid w:val="00541DDF"/>
    <w:rsid w:val="00566273"/>
    <w:rsid w:val="00586530"/>
    <w:rsid w:val="0059759A"/>
    <w:rsid w:val="005D030B"/>
    <w:rsid w:val="005D4827"/>
    <w:rsid w:val="005E3FF0"/>
    <w:rsid w:val="005F1D50"/>
    <w:rsid w:val="006322CA"/>
    <w:rsid w:val="00651059"/>
    <w:rsid w:val="0065282C"/>
    <w:rsid w:val="00666717"/>
    <w:rsid w:val="00681B43"/>
    <w:rsid w:val="0068276F"/>
    <w:rsid w:val="0068348C"/>
    <w:rsid w:val="006F02EE"/>
    <w:rsid w:val="006F15A2"/>
    <w:rsid w:val="006F6ACC"/>
    <w:rsid w:val="00736AA9"/>
    <w:rsid w:val="007412D6"/>
    <w:rsid w:val="00742F03"/>
    <w:rsid w:val="00761F05"/>
    <w:rsid w:val="00770EA5"/>
    <w:rsid w:val="007B5D5C"/>
    <w:rsid w:val="007C383F"/>
    <w:rsid w:val="007C4477"/>
    <w:rsid w:val="008252E8"/>
    <w:rsid w:val="00832C34"/>
    <w:rsid w:val="00834FC3"/>
    <w:rsid w:val="008660BC"/>
    <w:rsid w:val="00884F3C"/>
    <w:rsid w:val="008A15C2"/>
    <w:rsid w:val="008A4E19"/>
    <w:rsid w:val="008C3860"/>
    <w:rsid w:val="008E342E"/>
    <w:rsid w:val="008F2CCD"/>
    <w:rsid w:val="008F6F8E"/>
    <w:rsid w:val="00900626"/>
    <w:rsid w:val="00910B54"/>
    <w:rsid w:val="00914630"/>
    <w:rsid w:val="009503C0"/>
    <w:rsid w:val="00951D64"/>
    <w:rsid w:val="00981EC1"/>
    <w:rsid w:val="00990305"/>
    <w:rsid w:val="009C5AC3"/>
    <w:rsid w:val="009D3CCF"/>
    <w:rsid w:val="009D6803"/>
    <w:rsid w:val="00A22B7A"/>
    <w:rsid w:val="00A30117"/>
    <w:rsid w:val="00A700F4"/>
    <w:rsid w:val="00A7265A"/>
    <w:rsid w:val="00A92149"/>
    <w:rsid w:val="00A94389"/>
    <w:rsid w:val="00AC30BB"/>
    <w:rsid w:val="00AD6438"/>
    <w:rsid w:val="00AF0443"/>
    <w:rsid w:val="00B41012"/>
    <w:rsid w:val="00B442E4"/>
    <w:rsid w:val="00B66812"/>
    <w:rsid w:val="00B679E9"/>
    <w:rsid w:val="00BC70A2"/>
    <w:rsid w:val="00BE3FA1"/>
    <w:rsid w:val="00BF0550"/>
    <w:rsid w:val="00C209F7"/>
    <w:rsid w:val="00C4125B"/>
    <w:rsid w:val="00C52B74"/>
    <w:rsid w:val="00C96508"/>
    <w:rsid w:val="00CE5DCB"/>
    <w:rsid w:val="00CF3FE6"/>
    <w:rsid w:val="00D23B5E"/>
    <w:rsid w:val="00D40102"/>
    <w:rsid w:val="00D579F2"/>
    <w:rsid w:val="00D66566"/>
    <w:rsid w:val="00DC0137"/>
    <w:rsid w:val="00DD2CFA"/>
    <w:rsid w:val="00DE543B"/>
    <w:rsid w:val="00DF7BAD"/>
    <w:rsid w:val="00E0404E"/>
    <w:rsid w:val="00E60A3B"/>
    <w:rsid w:val="00E73F9C"/>
    <w:rsid w:val="00EA1D45"/>
    <w:rsid w:val="00EC01CB"/>
    <w:rsid w:val="00EC21B8"/>
    <w:rsid w:val="00EC6D8A"/>
    <w:rsid w:val="00EE4DC5"/>
    <w:rsid w:val="00F36F5B"/>
    <w:rsid w:val="00F716AF"/>
    <w:rsid w:val="00F85AE6"/>
    <w:rsid w:val="00FB45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EFA9E776-5F28-4E96-AEF1-D38790FB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665</Words>
  <Characters>5195</Characters>
  <Application>Microsoft Office Word</Application>
  <DocSecurity>0</DocSecurity>
  <Lines>742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2022-09-26T01:56:00Z</dcterms:created>
  <dcterms:modified xsi:type="dcterms:W3CDTF">2024-02-08T11:14:00Z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99a1e7ecb3db6fce9fbb0cc19fc02ceb2f0b20379ab031c5d28543db3be75346</vt:lpwstr>
  </property>
</Properties>
</file>