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2E1A1C71" w14:textId="4A79349E" w:rsidR="00312F49" w:rsidRPr="008E342E" w:rsidRDefault="00884F3C" w:rsidP="008E342E">
      <w:pPr>
        <w:pStyle w:val="NoSpacing"/>
        <w:jc w:val="both"/>
        <w:rPr>
          <w:rFonts w:cstheme="minorHAnsi"/>
        </w:rPr>
      </w:pPr>
      <w:r w:rsidRPr="008E342E">
        <w:rPr>
          <w:rFonts w:cstheme="minorHAnsi"/>
        </w:rPr>
        <w:t>Researchers shall report protocol deviations and violations in the conduct of approved researches within a week from the detection of the protocol violation/deviation.    Major protocol violations undergo full review.</w:t>
      </w:r>
    </w:p>
    <w:p w14:paraId="26E46386" w14:textId="77777777" w:rsidR="00884F3C" w:rsidRPr="008E342E" w:rsidRDefault="00884F3C" w:rsidP="00312F49">
      <w:pPr>
        <w:pStyle w:val="NoSpacing"/>
        <w:rPr>
          <w:rFonts w:cstheme="minorHAnsi"/>
          <w:b/>
        </w:rPr>
      </w:pPr>
    </w:p>
    <w:p w14:paraId="6D3886B6" w14:textId="2E0C5CFA" w:rsidR="00F85AE6" w:rsidRPr="008E342E" w:rsidRDefault="00F85AE6" w:rsidP="00F85AE6">
      <w:pPr>
        <w:pStyle w:val="NoSpacing"/>
        <w:jc w:val="center"/>
        <w:rPr>
          <w:rFonts w:cstheme="minorHAnsi"/>
          <w:b/>
        </w:rPr>
      </w:pPr>
      <w:r w:rsidRPr="008E342E">
        <w:rPr>
          <w:rFonts w:cstheme="minorHAnsi"/>
          <w:b/>
        </w:rPr>
        <w:t>Objectives of the SOP</w:t>
      </w:r>
    </w:p>
    <w:p w14:paraId="2C94D826" w14:textId="77777777" w:rsidR="00F85AE6" w:rsidRPr="008E342E" w:rsidRDefault="00F85AE6" w:rsidP="00F85AE6">
      <w:pPr>
        <w:pStyle w:val="NoSpacing"/>
        <w:rPr>
          <w:rFonts w:cstheme="minorHAnsi"/>
        </w:rPr>
      </w:pPr>
    </w:p>
    <w:p w14:paraId="02684455" w14:textId="77777777" w:rsidR="00884F3C" w:rsidRPr="008E342E" w:rsidRDefault="00884F3C" w:rsidP="008E342E">
      <w:pPr>
        <w:pStyle w:val="NoSpacing"/>
        <w:jc w:val="both"/>
        <w:rPr>
          <w:rFonts w:cstheme="minorHAnsi"/>
        </w:rPr>
      </w:pPr>
      <w:r w:rsidRPr="008E342E">
        <w:rPr>
          <w:rFonts w:cstheme="minorHAnsi"/>
        </w:rPr>
        <w:t>Review of protocol deviations and violations aims to ensure that the safety and welfare of human participants in the study are safeguarded and that the credibility and integrity of data are maintained.</w:t>
      </w:r>
    </w:p>
    <w:p w14:paraId="5168E6FF" w14:textId="77777777" w:rsidR="00884F3C" w:rsidRPr="008E342E" w:rsidRDefault="00884F3C" w:rsidP="004A17E5">
      <w:pPr>
        <w:pStyle w:val="NoSpacing"/>
        <w:jc w:val="center"/>
        <w:rPr>
          <w:rFonts w:cstheme="minorHAnsi"/>
        </w:rPr>
      </w:pPr>
    </w:p>
    <w:p w14:paraId="3AEE443D" w14:textId="751212D2" w:rsidR="00F85AE6" w:rsidRPr="008E342E" w:rsidRDefault="00F85AE6" w:rsidP="004A17E5">
      <w:pPr>
        <w:pStyle w:val="NoSpacing"/>
        <w:jc w:val="center"/>
        <w:rPr>
          <w:rFonts w:cstheme="minorHAnsi"/>
          <w:b/>
        </w:rPr>
      </w:pPr>
      <w:r w:rsidRPr="008E342E">
        <w:rPr>
          <w:rFonts w:cstheme="minorHAnsi"/>
          <w:b/>
        </w:rPr>
        <w:t>Scope/Applicability</w:t>
      </w:r>
    </w:p>
    <w:p w14:paraId="1DB2DFED" w14:textId="77777777" w:rsidR="00A94389" w:rsidRPr="008E342E" w:rsidRDefault="00A94389" w:rsidP="004A17E5">
      <w:pPr>
        <w:pStyle w:val="NoSpacing"/>
        <w:rPr>
          <w:rFonts w:cstheme="minorHAnsi"/>
        </w:rPr>
      </w:pPr>
    </w:p>
    <w:p w14:paraId="6E2F3ECB" w14:textId="3D6BF386" w:rsidR="00A94389" w:rsidRPr="008E342E" w:rsidRDefault="00884F3C" w:rsidP="008E342E">
      <w:pPr>
        <w:pStyle w:val="NoSpacing"/>
        <w:jc w:val="both"/>
        <w:rPr>
          <w:rFonts w:cstheme="minorHAnsi"/>
          <w:lang w:val="it-IT"/>
        </w:rPr>
      </w:pPr>
      <w:r w:rsidRPr="008E342E">
        <w:rPr>
          <w:rFonts w:cstheme="minorHAnsi"/>
        </w:rPr>
        <w:t xml:space="preserve">This SOP applies to the review of reports of protocol deviations or violations in the conduct of previously approved studies. This begins with the receipt and documentation of the report of protocol violations and deviations in the logbook and ends with the filing of all related documents and update of the </w:t>
      </w:r>
      <w:r w:rsidRPr="008E342E">
        <w:rPr>
          <w:rFonts w:cstheme="minorHAnsi"/>
          <w:lang w:val="it-IT"/>
        </w:rPr>
        <w:t>database.</w:t>
      </w:r>
    </w:p>
    <w:p w14:paraId="716A1ED0" w14:textId="77777777" w:rsidR="00884F3C" w:rsidRPr="008E342E" w:rsidRDefault="00884F3C" w:rsidP="0059759A">
      <w:pPr>
        <w:pStyle w:val="NoSpacing"/>
        <w:jc w:val="center"/>
        <w:rPr>
          <w:rFonts w:cstheme="minorHAnsi"/>
          <w:b/>
        </w:rPr>
      </w:pPr>
    </w:p>
    <w:p w14:paraId="333A750E" w14:textId="671DD233" w:rsidR="0059759A" w:rsidRDefault="0059759A" w:rsidP="0059759A">
      <w:pPr>
        <w:pStyle w:val="NoSpacing"/>
        <w:jc w:val="center"/>
        <w:rPr>
          <w:rFonts w:cstheme="minorHAnsi"/>
          <w:b/>
        </w:rPr>
      </w:pPr>
      <w:r>
        <w:rPr>
          <w:rFonts w:cstheme="minorHAnsi"/>
          <w:b/>
        </w:rPr>
        <w:t>Flowchart</w:t>
      </w:r>
    </w:p>
    <w:p w14:paraId="2BA94882" w14:textId="21C951F2" w:rsidR="000F5BBB" w:rsidRDefault="000F5BBB" w:rsidP="00F85AE6">
      <w:pPr>
        <w:pStyle w:val="NoSpacing"/>
        <w:jc w:val="center"/>
        <w:rPr>
          <w:rFonts w:cstheme="minorHAnsi"/>
          <w:b/>
        </w:rPr>
      </w:pPr>
    </w:p>
    <w:tbl>
      <w:tblPr>
        <w:tblW w:w="8878"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192"/>
        <w:gridCol w:w="1843"/>
        <w:gridCol w:w="1843"/>
      </w:tblGrid>
      <w:tr w:rsidR="008E342E" w:rsidRPr="008E342E" w14:paraId="25B79B33" w14:textId="337C8C3D" w:rsidTr="008E342E">
        <w:trPr>
          <w:trHeight w:val="28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4AA919" w14:textId="77777777" w:rsidR="008E342E" w:rsidRPr="008E342E" w:rsidRDefault="008E342E" w:rsidP="00E6628F">
            <w:pPr>
              <w:pStyle w:val="FreeForm"/>
              <w:spacing w:line="276" w:lineRule="auto"/>
              <w:jc w:val="center"/>
              <w:rPr>
                <w:rFonts w:asciiTheme="minorHAnsi" w:hAnsiTheme="minorHAnsi" w:cstheme="minorHAnsi"/>
                <w:sz w:val="22"/>
                <w:szCs w:val="22"/>
              </w:rPr>
            </w:pPr>
            <w:r w:rsidRPr="008E342E">
              <w:rPr>
                <w:rFonts w:asciiTheme="minorHAnsi" w:hAnsiTheme="minorHAnsi" w:cstheme="minorHAnsi"/>
                <w:b/>
                <w:bCs/>
                <w:sz w:val="22"/>
                <w:szCs w:val="22"/>
              </w:rPr>
              <w:t>ACTIVITY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7460EEF" w14:textId="77777777" w:rsidR="008E342E" w:rsidRPr="008E342E" w:rsidRDefault="008E342E" w:rsidP="00E6628F">
            <w:pPr>
              <w:pStyle w:val="FreeForm"/>
              <w:spacing w:line="276" w:lineRule="auto"/>
              <w:jc w:val="center"/>
              <w:rPr>
                <w:rFonts w:asciiTheme="minorHAnsi" w:hAnsiTheme="minorHAnsi" w:cstheme="minorHAnsi"/>
                <w:sz w:val="22"/>
                <w:szCs w:val="22"/>
              </w:rPr>
            </w:pPr>
            <w:r w:rsidRPr="008E342E">
              <w:rPr>
                <w:rFonts w:asciiTheme="minorHAnsi" w:hAnsiTheme="minorHAnsi" w:cstheme="minorHAnsi"/>
                <w:b/>
                <w:bCs/>
                <w:sz w:val="22"/>
                <w:szCs w:val="22"/>
              </w:rPr>
              <w:t>RESPONSIBILITY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4C1CD222" w14:textId="7B887219" w:rsidR="008E342E" w:rsidRPr="008E342E" w:rsidRDefault="008E342E" w:rsidP="00E6628F">
            <w:pPr>
              <w:pStyle w:val="FreeForm"/>
              <w:spacing w:line="276" w:lineRule="auto"/>
              <w:jc w:val="center"/>
              <w:rPr>
                <w:rFonts w:asciiTheme="minorHAnsi" w:hAnsiTheme="minorHAnsi" w:cstheme="minorHAnsi"/>
                <w:b/>
                <w:bCs/>
                <w:sz w:val="22"/>
                <w:szCs w:val="22"/>
              </w:rPr>
            </w:pPr>
            <w:r w:rsidRPr="008E342E">
              <w:rPr>
                <w:rFonts w:asciiTheme="minorHAnsi" w:hAnsiTheme="minorHAnsi" w:cstheme="minorHAnsi"/>
                <w:b/>
                <w:bCs/>
                <w:sz w:val="22"/>
                <w:szCs w:val="22"/>
              </w:rPr>
              <w:t>TIMELINE</w:t>
            </w:r>
          </w:p>
        </w:tc>
      </w:tr>
      <w:tr w:rsidR="008E342E" w:rsidRPr="008E342E" w14:paraId="745A2989" w14:textId="08B63141" w:rsidTr="008E342E">
        <w:trPr>
          <w:trHeight w:val="54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FC9CC19"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Step 1: Receipt and documentation of report of protocol violations and deviations in the logbook.</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BA78305"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508C485A" w14:textId="01DDBAA4" w:rsidR="008E342E" w:rsidRPr="008E342E" w:rsidRDefault="000C4FAD" w:rsidP="00E6628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8E342E" w:rsidRPr="008E342E" w14:paraId="531C8B7D" w14:textId="30C09850" w:rsidTr="008E342E">
        <w:trPr>
          <w:trHeight w:val="28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1F85AFD"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Step 2: Retrieval of pertinent protocol file</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FC77D3D" w14:textId="77777777" w:rsidR="008E342E" w:rsidRPr="008E342E" w:rsidRDefault="008E342E" w:rsidP="00E6628F">
            <w:pPr>
              <w:pStyle w:val="FreeForm"/>
              <w:spacing w:after="160" w:line="276" w:lineRule="auto"/>
              <w:jc w:val="both"/>
              <w:rPr>
                <w:rFonts w:asciiTheme="minorHAnsi" w:hAnsiTheme="minorHAnsi" w:cstheme="minorHAnsi"/>
                <w:sz w:val="22"/>
                <w:szCs w:val="22"/>
              </w:rPr>
            </w:pPr>
            <w:r w:rsidRPr="008E342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679FF2F4" w14:textId="292F6662" w:rsidR="008E342E" w:rsidRPr="008E342E" w:rsidRDefault="000C4FAD" w:rsidP="00E6628F">
            <w:pPr>
              <w:pStyle w:val="FreeForm"/>
              <w:spacing w:after="160"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8E342E" w:rsidRPr="008E342E" w14:paraId="2DECA521" w14:textId="7E3855D3" w:rsidTr="008E342E">
        <w:trPr>
          <w:trHeight w:val="28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9201DD8"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Step 3: Notification of Chair and primary reviewers.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0259C5F"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52418207" w14:textId="4B93F362" w:rsidR="008E342E" w:rsidRPr="008E342E" w:rsidRDefault="000C4FAD" w:rsidP="00E6628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8E342E" w:rsidRPr="008E342E" w14:paraId="158F2848" w14:textId="3626227B" w:rsidTr="008E342E">
        <w:trPr>
          <w:trHeight w:val="54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A87BACD" w14:textId="1BB93B66"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Step 4: Determination of type of review: expedited (SOP on Expedited Review (SOP#</w:t>
            </w:r>
            <w:r w:rsidR="004E2CFA">
              <w:rPr>
                <w:rFonts w:asciiTheme="minorHAnsi" w:hAnsiTheme="minorHAnsi" w:cstheme="minorHAnsi"/>
                <w:sz w:val="22"/>
                <w:szCs w:val="22"/>
              </w:rPr>
              <w:t xml:space="preserve"> 04</w:t>
            </w:r>
            <w:r w:rsidRPr="008E342E">
              <w:rPr>
                <w:rFonts w:asciiTheme="minorHAnsi" w:hAnsiTheme="minorHAnsi" w:cstheme="minorHAnsi"/>
                <w:sz w:val="22"/>
                <w:szCs w:val="22"/>
              </w:rPr>
              <w:t>)), full review (SOP on Full Review (SOP#</w:t>
            </w:r>
            <w:r w:rsidR="004E2CFA">
              <w:rPr>
                <w:rFonts w:asciiTheme="minorHAnsi" w:hAnsiTheme="minorHAnsi" w:cstheme="minorHAnsi"/>
                <w:sz w:val="22"/>
                <w:szCs w:val="22"/>
              </w:rPr>
              <w:t xml:space="preserve"> 05</w:t>
            </w:r>
            <w:r w:rsidRPr="008E342E">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416462D"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Chair</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70059DA6" w14:textId="0F1928A1" w:rsidR="008E342E" w:rsidRPr="008E342E" w:rsidRDefault="000C4FAD" w:rsidP="00E6628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8E342E" w:rsidRPr="008E342E" w14:paraId="118D3A95" w14:textId="227DE8C3" w:rsidTr="008E342E">
        <w:trPr>
          <w:trHeight w:val="801"/>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009166B" w14:textId="236F222A"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lastRenderedPageBreak/>
              <w:t>Step 5: Inclusion of report in the agenda of the next REC regular meeting (SOP on Preparing the Meeting Agenda (SOP#</w:t>
            </w:r>
            <w:r w:rsidR="004E2CFA">
              <w:rPr>
                <w:rFonts w:asciiTheme="minorHAnsi" w:hAnsiTheme="minorHAnsi" w:cstheme="minorHAnsi"/>
                <w:sz w:val="22"/>
                <w:szCs w:val="22"/>
              </w:rPr>
              <w:t xml:space="preserve"> 18</w:t>
            </w:r>
            <w:r w:rsidRPr="008E342E">
              <w:rPr>
                <w:rFonts w:asciiTheme="minorHAnsi" w:hAnsiTheme="minorHAnsi" w:cstheme="minorHAnsi"/>
                <w:sz w:val="22"/>
                <w:szCs w:val="22"/>
              </w:rPr>
              <w:t>); SOP on Conduct of Meeting (SOP#</w:t>
            </w:r>
            <w:r w:rsidR="004E2CFA">
              <w:rPr>
                <w:rFonts w:asciiTheme="minorHAnsi" w:hAnsiTheme="minorHAnsi" w:cstheme="minorHAnsi"/>
                <w:sz w:val="22"/>
                <w:szCs w:val="22"/>
              </w:rPr>
              <w:t xml:space="preserve"> 19</w:t>
            </w:r>
            <w:r w:rsidRPr="008E342E">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7ADCC8D"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Staff and Chair</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53573344" w14:textId="21EF10E8" w:rsidR="008E342E" w:rsidRPr="008E342E" w:rsidRDefault="000C4FAD" w:rsidP="00E6628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8E342E" w:rsidRPr="008E342E" w14:paraId="456FAF19" w14:textId="53569AE8" w:rsidTr="008E342E">
        <w:trPr>
          <w:trHeight w:val="54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20D152E" w14:textId="1A52BC23"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Step 6: Communication of decision to the Principal Investigator/researcher (SOP on Communicating REC Decisions (SOP#</w:t>
            </w:r>
            <w:r w:rsidR="004E2CFA">
              <w:rPr>
                <w:rFonts w:asciiTheme="minorHAnsi" w:hAnsiTheme="minorHAnsi" w:cstheme="minorHAnsi"/>
                <w:sz w:val="22"/>
                <w:szCs w:val="22"/>
              </w:rPr>
              <w:t xml:space="preserve"> 21</w:t>
            </w:r>
            <w:r w:rsidRPr="008E342E">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AF2889B"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Staff and Chair</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3C81A301" w14:textId="0C3A1E97" w:rsidR="008E342E" w:rsidRPr="008E342E" w:rsidRDefault="000C4FAD" w:rsidP="00E6628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8E342E" w:rsidRPr="008E342E" w14:paraId="16A5CC1E" w14:textId="54572658" w:rsidTr="008E342E">
        <w:trPr>
          <w:trHeight w:val="540"/>
        </w:trPr>
        <w:tc>
          <w:tcPr>
            <w:tcW w:w="519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89D379C" w14:textId="16F6BDAA"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Step 7: Filing of all related documents and update of the protocol database (SOP on Managing Active Files (SOP#</w:t>
            </w:r>
            <w:r w:rsidR="004E2CFA">
              <w:rPr>
                <w:rFonts w:asciiTheme="minorHAnsi" w:hAnsiTheme="minorHAnsi" w:cstheme="minorHAnsi"/>
                <w:sz w:val="22"/>
                <w:szCs w:val="22"/>
              </w:rPr>
              <w:t xml:space="preserve"> 23</w:t>
            </w:r>
            <w:r w:rsidRPr="008E342E">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26B3A3B" w14:textId="77777777" w:rsidR="008E342E" w:rsidRPr="008E342E" w:rsidRDefault="008E342E" w:rsidP="00E6628F">
            <w:pPr>
              <w:pStyle w:val="FreeForm"/>
              <w:spacing w:line="276" w:lineRule="auto"/>
              <w:jc w:val="both"/>
              <w:rPr>
                <w:rFonts w:asciiTheme="minorHAnsi" w:hAnsiTheme="minorHAnsi" w:cstheme="minorHAnsi"/>
                <w:sz w:val="22"/>
                <w:szCs w:val="22"/>
              </w:rPr>
            </w:pPr>
            <w:r w:rsidRPr="008E342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2E66D4AA" w14:textId="13946F58" w:rsidR="008E342E" w:rsidRPr="008E342E" w:rsidRDefault="000C4FAD" w:rsidP="00E6628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3523893D" w14:textId="211FA2C2" w:rsidR="00884F3C" w:rsidRPr="008E342E" w:rsidRDefault="00884F3C" w:rsidP="00884F3C">
      <w:pPr>
        <w:pStyle w:val="FreeForm"/>
        <w:spacing w:line="276" w:lineRule="auto"/>
        <w:jc w:val="both"/>
        <w:rPr>
          <w:rFonts w:asciiTheme="minorHAnsi" w:eastAsia="Times" w:hAnsiTheme="minorHAnsi" w:cstheme="minorHAnsi"/>
          <w:sz w:val="22"/>
          <w:szCs w:val="22"/>
        </w:rPr>
      </w:pPr>
      <w:r w:rsidRPr="008E342E">
        <w:rPr>
          <w:rFonts w:asciiTheme="minorHAnsi" w:hAnsiTheme="minorHAnsi" w:cstheme="minorHAnsi"/>
          <w:sz w:val="22"/>
          <w:szCs w:val="22"/>
          <w:lang w:val="en-US"/>
        </w:rPr>
        <w:t>Step 1 - Receipt and documentation of report of protocol violations and deviations in the logbook/database: The Staff receives the report on protocol deviation or violation in the appropriate report form (Form #</w:t>
      </w:r>
      <w:r w:rsidR="000A370E">
        <w:rPr>
          <w:rFonts w:asciiTheme="minorHAnsi" w:hAnsiTheme="minorHAnsi" w:cstheme="minorHAnsi"/>
          <w:sz w:val="22"/>
          <w:szCs w:val="22"/>
          <w:lang w:val="en-US"/>
        </w:rPr>
        <w:t xml:space="preserve"> 0</w:t>
      </w:r>
      <w:r w:rsidR="004E2CFA">
        <w:rPr>
          <w:rFonts w:asciiTheme="minorHAnsi" w:hAnsiTheme="minorHAnsi" w:cstheme="minorHAnsi"/>
          <w:sz w:val="22"/>
          <w:szCs w:val="22"/>
          <w:lang w:val="en-US"/>
        </w:rPr>
        <w:t>17</w:t>
      </w:r>
      <w:r w:rsidRPr="008E342E">
        <w:rPr>
          <w:rFonts w:asciiTheme="minorHAnsi" w:hAnsiTheme="minorHAnsi" w:cstheme="minorHAnsi"/>
          <w:sz w:val="22"/>
          <w:szCs w:val="22"/>
          <w:lang w:val="en-US"/>
        </w:rPr>
        <w:t>) and records this in the logbook for incoming documents.</w:t>
      </w:r>
    </w:p>
    <w:p w14:paraId="2F54C001" w14:textId="77777777" w:rsidR="00884F3C" w:rsidRPr="008E342E" w:rsidRDefault="00884F3C" w:rsidP="00884F3C">
      <w:pPr>
        <w:pStyle w:val="FreeForm"/>
        <w:spacing w:line="276" w:lineRule="auto"/>
        <w:jc w:val="both"/>
        <w:rPr>
          <w:rFonts w:asciiTheme="minorHAnsi" w:eastAsia="Times" w:hAnsiTheme="minorHAnsi" w:cstheme="minorHAnsi"/>
          <w:sz w:val="22"/>
          <w:szCs w:val="22"/>
        </w:rPr>
      </w:pPr>
    </w:p>
    <w:p w14:paraId="6156ADD8" w14:textId="488714BF" w:rsidR="00884F3C" w:rsidRPr="008E342E" w:rsidRDefault="00884F3C" w:rsidP="00884F3C">
      <w:pPr>
        <w:pStyle w:val="FreeForm"/>
        <w:spacing w:line="276" w:lineRule="auto"/>
        <w:jc w:val="both"/>
        <w:rPr>
          <w:rFonts w:asciiTheme="minorHAnsi" w:eastAsia="Times" w:hAnsiTheme="minorHAnsi" w:cstheme="minorHAnsi"/>
          <w:sz w:val="22"/>
          <w:szCs w:val="22"/>
        </w:rPr>
      </w:pPr>
      <w:r w:rsidRPr="008E342E">
        <w:rPr>
          <w:rFonts w:asciiTheme="minorHAnsi" w:hAnsiTheme="minorHAnsi" w:cstheme="minorHAnsi"/>
          <w:sz w:val="22"/>
          <w:szCs w:val="22"/>
        </w:rPr>
        <w:t xml:space="preserve">Step 2 - </w:t>
      </w:r>
      <w:r w:rsidRPr="008E342E">
        <w:rPr>
          <w:rFonts w:asciiTheme="minorHAnsi" w:hAnsiTheme="minorHAnsi" w:cstheme="minorHAnsi"/>
          <w:sz w:val="22"/>
          <w:szCs w:val="22"/>
          <w:lang w:val="en-US"/>
        </w:rPr>
        <w:t>Retrieval of pertinent protocol file. The Staff retrieves the approved protocol and checks the identity of the primary reviewers for reference and guidance of the Chair in the selection/ designation of reviewers.</w:t>
      </w:r>
    </w:p>
    <w:p w14:paraId="55581C3F" w14:textId="77777777" w:rsidR="00884F3C" w:rsidRPr="008E342E" w:rsidRDefault="00884F3C" w:rsidP="00884F3C">
      <w:pPr>
        <w:pStyle w:val="FreeForm"/>
        <w:spacing w:line="276" w:lineRule="auto"/>
        <w:jc w:val="both"/>
        <w:rPr>
          <w:rFonts w:asciiTheme="minorHAnsi" w:eastAsia="Times" w:hAnsiTheme="minorHAnsi" w:cstheme="minorHAnsi"/>
          <w:sz w:val="22"/>
          <w:szCs w:val="22"/>
        </w:rPr>
      </w:pPr>
    </w:p>
    <w:p w14:paraId="3040827E" w14:textId="0133B9B5" w:rsidR="00884F3C" w:rsidRPr="008E342E" w:rsidRDefault="00884F3C" w:rsidP="00884F3C">
      <w:pPr>
        <w:pStyle w:val="FreeForm"/>
        <w:spacing w:line="276" w:lineRule="auto"/>
        <w:jc w:val="both"/>
        <w:rPr>
          <w:rFonts w:asciiTheme="minorHAnsi" w:eastAsia="Trebuchet MS" w:hAnsiTheme="minorHAnsi" w:cstheme="minorHAnsi"/>
          <w:sz w:val="22"/>
          <w:szCs w:val="22"/>
        </w:rPr>
      </w:pPr>
      <w:r w:rsidRPr="008E342E">
        <w:rPr>
          <w:rFonts w:asciiTheme="minorHAnsi" w:hAnsiTheme="minorHAnsi" w:cstheme="minorHAnsi"/>
          <w:sz w:val="22"/>
          <w:szCs w:val="22"/>
        </w:rPr>
        <w:t xml:space="preserve">Step 3 - </w:t>
      </w:r>
      <w:r w:rsidRPr="008E342E">
        <w:rPr>
          <w:rFonts w:asciiTheme="minorHAnsi" w:hAnsiTheme="minorHAnsi" w:cstheme="minorHAnsi"/>
          <w:sz w:val="22"/>
          <w:szCs w:val="22"/>
          <w:lang w:val="en-US"/>
        </w:rPr>
        <w:t>Notification of Chair and primary reviewers.</w:t>
      </w:r>
      <w:r w:rsidRPr="008E342E">
        <w:rPr>
          <w:rFonts w:asciiTheme="minorHAnsi" w:hAnsiTheme="minorHAnsi" w:cstheme="minorHAnsi"/>
          <w:sz w:val="22"/>
          <w:szCs w:val="22"/>
        </w:rPr>
        <w:t xml:space="preserve"> </w:t>
      </w:r>
      <w:r w:rsidRPr="008E342E">
        <w:rPr>
          <w:rFonts w:asciiTheme="minorHAnsi" w:hAnsiTheme="minorHAnsi" w:cstheme="minorHAnsi"/>
          <w:sz w:val="22"/>
          <w:szCs w:val="22"/>
          <w:lang w:val="en-US"/>
        </w:rPr>
        <w:t xml:space="preserve"> The Staff notifies and sends the protocol deviation or violation report and together with the retrieved pertinent documents to the Chair and the primary reviewers. </w:t>
      </w:r>
    </w:p>
    <w:p w14:paraId="35DADAF0" w14:textId="77777777" w:rsidR="00884F3C" w:rsidRPr="008E342E" w:rsidRDefault="00884F3C" w:rsidP="00884F3C">
      <w:pPr>
        <w:pStyle w:val="FreeForm"/>
        <w:spacing w:line="276" w:lineRule="auto"/>
        <w:jc w:val="both"/>
        <w:rPr>
          <w:rFonts w:asciiTheme="minorHAnsi" w:eastAsia="Times" w:hAnsiTheme="minorHAnsi" w:cstheme="minorHAnsi"/>
          <w:sz w:val="22"/>
          <w:szCs w:val="22"/>
        </w:rPr>
      </w:pPr>
    </w:p>
    <w:p w14:paraId="280E07C0" w14:textId="3C051657" w:rsidR="00884F3C" w:rsidRPr="008E342E" w:rsidRDefault="00884F3C" w:rsidP="00884F3C">
      <w:pPr>
        <w:pStyle w:val="FreeForm"/>
        <w:spacing w:line="276" w:lineRule="auto"/>
        <w:jc w:val="both"/>
        <w:rPr>
          <w:rFonts w:asciiTheme="minorHAnsi" w:eastAsia="Times" w:hAnsiTheme="minorHAnsi" w:cstheme="minorHAnsi"/>
          <w:sz w:val="22"/>
          <w:szCs w:val="22"/>
        </w:rPr>
      </w:pPr>
      <w:r w:rsidRPr="008E342E">
        <w:rPr>
          <w:rFonts w:asciiTheme="minorHAnsi" w:hAnsiTheme="minorHAnsi" w:cstheme="minorHAnsi"/>
          <w:sz w:val="22"/>
          <w:szCs w:val="22"/>
          <w:lang w:val="en-US"/>
        </w:rPr>
        <w:t>Step 4 - Determination of type of review: expedited or full review</w:t>
      </w:r>
      <w:r w:rsidRPr="008E342E">
        <w:rPr>
          <w:rFonts w:asciiTheme="minorHAnsi" w:hAnsiTheme="minorHAnsi" w:cstheme="minorHAnsi"/>
          <w:sz w:val="22"/>
          <w:szCs w:val="22"/>
        </w:rPr>
        <w:t xml:space="preserve">: </w:t>
      </w:r>
      <w:r w:rsidRPr="008E342E">
        <w:rPr>
          <w:rFonts w:asciiTheme="minorHAnsi" w:hAnsiTheme="minorHAnsi" w:cstheme="minorHAnsi"/>
          <w:sz w:val="22"/>
          <w:szCs w:val="22"/>
          <w:lang w:val="en-US"/>
        </w:rPr>
        <w:t>The Chair and primary reviewers determine the type of review such that major protocol violations undergo full review. Otherwise, the protocol deviation undergoes expedited review. See SOP#</w:t>
      </w:r>
      <w:r w:rsidR="004E2CFA">
        <w:rPr>
          <w:rFonts w:asciiTheme="minorHAnsi" w:hAnsiTheme="minorHAnsi" w:cstheme="minorHAnsi"/>
          <w:sz w:val="22"/>
          <w:szCs w:val="22"/>
          <w:lang w:val="en-US"/>
        </w:rPr>
        <w:t xml:space="preserve"> 04</w:t>
      </w:r>
      <w:r w:rsidRPr="008E342E">
        <w:rPr>
          <w:rFonts w:asciiTheme="minorHAnsi" w:hAnsiTheme="minorHAnsi" w:cstheme="minorHAnsi"/>
          <w:sz w:val="22"/>
          <w:szCs w:val="22"/>
          <w:lang w:val="en-US"/>
        </w:rPr>
        <w:t>: Expedited Review and SOP #</w:t>
      </w:r>
      <w:r w:rsidR="004E2CFA">
        <w:rPr>
          <w:rFonts w:asciiTheme="minorHAnsi" w:hAnsiTheme="minorHAnsi" w:cstheme="minorHAnsi"/>
          <w:sz w:val="22"/>
          <w:szCs w:val="22"/>
          <w:lang w:val="en-US"/>
        </w:rPr>
        <w:t xml:space="preserve"> 05</w:t>
      </w:r>
      <w:r w:rsidRPr="008E342E">
        <w:rPr>
          <w:rFonts w:asciiTheme="minorHAnsi" w:hAnsiTheme="minorHAnsi" w:cstheme="minorHAnsi"/>
          <w:sz w:val="22"/>
          <w:szCs w:val="22"/>
          <w:lang w:val="en-US"/>
        </w:rPr>
        <w:t xml:space="preserve">: Full Review. </w:t>
      </w:r>
    </w:p>
    <w:p w14:paraId="3D4C0D11" w14:textId="77777777" w:rsidR="00884F3C" w:rsidRPr="008E342E" w:rsidRDefault="00884F3C" w:rsidP="00884F3C">
      <w:pPr>
        <w:pStyle w:val="FreeForm"/>
        <w:spacing w:line="276" w:lineRule="auto"/>
        <w:jc w:val="both"/>
        <w:rPr>
          <w:rFonts w:asciiTheme="minorHAnsi" w:eastAsia="Times" w:hAnsiTheme="minorHAnsi" w:cstheme="minorHAnsi"/>
          <w:sz w:val="22"/>
          <w:szCs w:val="22"/>
        </w:rPr>
      </w:pPr>
    </w:p>
    <w:p w14:paraId="299E277C" w14:textId="7FD3914E" w:rsidR="00884F3C" w:rsidRPr="008E342E" w:rsidRDefault="00884F3C" w:rsidP="00884F3C">
      <w:pPr>
        <w:pStyle w:val="FreeForm"/>
        <w:spacing w:line="276" w:lineRule="auto"/>
        <w:jc w:val="both"/>
        <w:rPr>
          <w:rFonts w:asciiTheme="minorHAnsi" w:eastAsia="Times" w:hAnsiTheme="minorHAnsi" w:cstheme="minorHAnsi"/>
          <w:sz w:val="22"/>
          <w:szCs w:val="22"/>
        </w:rPr>
      </w:pPr>
      <w:r w:rsidRPr="008E342E">
        <w:rPr>
          <w:rFonts w:asciiTheme="minorHAnsi" w:hAnsiTheme="minorHAnsi" w:cstheme="minorHAnsi"/>
          <w:sz w:val="22"/>
          <w:szCs w:val="22"/>
          <w:lang w:val="en-US"/>
        </w:rPr>
        <w:t>Step 5 - Inclusion of report in the agenda of the next REC regular meeting. The Chair includes the report on protocol deviation and violation in the Agenda of the next meeting if it is for Full review or the decision report if Expedited review.</w:t>
      </w:r>
      <w:r w:rsidR="008E342E" w:rsidRPr="008E342E">
        <w:rPr>
          <w:rFonts w:asciiTheme="minorHAnsi" w:hAnsiTheme="minorHAnsi" w:cstheme="minorHAnsi"/>
          <w:sz w:val="22"/>
          <w:szCs w:val="22"/>
          <w:lang w:val="en-US"/>
        </w:rPr>
        <w:t xml:space="preserve"> See SOP on Preparing the Meeting Agenda and SOP on Conduct of Meetings.</w:t>
      </w:r>
    </w:p>
    <w:p w14:paraId="335D7F83" w14:textId="77777777" w:rsidR="00884F3C" w:rsidRPr="008E342E" w:rsidRDefault="00884F3C" w:rsidP="00884F3C">
      <w:pPr>
        <w:pStyle w:val="FreeForm"/>
        <w:spacing w:line="276" w:lineRule="auto"/>
        <w:jc w:val="both"/>
        <w:rPr>
          <w:rFonts w:asciiTheme="minorHAnsi" w:eastAsia="Times" w:hAnsiTheme="minorHAnsi" w:cstheme="minorHAnsi"/>
          <w:sz w:val="22"/>
          <w:szCs w:val="22"/>
        </w:rPr>
      </w:pPr>
    </w:p>
    <w:p w14:paraId="24F198A9" w14:textId="5E07F161" w:rsidR="00884F3C" w:rsidRPr="008E342E" w:rsidRDefault="00884F3C" w:rsidP="00884F3C">
      <w:pPr>
        <w:pStyle w:val="FreeForm"/>
        <w:spacing w:line="276" w:lineRule="auto"/>
        <w:jc w:val="both"/>
        <w:rPr>
          <w:rFonts w:asciiTheme="minorHAnsi" w:eastAsia="Times" w:hAnsiTheme="minorHAnsi" w:cstheme="minorHAnsi"/>
          <w:sz w:val="22"/>
          <w:szCs w:val="22"/>
        </w:rPr>
      </w:pPr>
      <w:r w:rsidRPr="008E342E">
        <w:rPr>
          <w:rFonts w:asciiTheme="minorHAnsi" w:hAnsiTheme="minorHAnsi" w:cstheme="minorHAnsi"/>
          <w:sz w:val="22"/>
          <w:szCs w:val="22"/>
          <w:lang w:val="en-US"/>
        </w:rPr>
        <w:t>Step 6 - Communication of Decision to the Principal Investigator/researcher</w:t>
      </w:r>
      <w:r w:rsidRPr="008E342E">
        <w:rPr>
          <w:rFonts w:asciiTheme="minorHAnsi" w:hAnsiTheme="minorHAnsi" w:cstheme="minorHAnsi"/>
          <w:sz w:val="22"/>
          <w:szCs w:val="22"/>
        </w:rPr>
        <w:t xml:space="preserve">: </w:t>
      </w:r>
      <w:r w:rsidRPr="008E342E">
        <w:rPr>
          <w:rFonts w:asciiTheme="minorHAnsi" w:hAnsiTheme="minorHAnsi" w:cstheme="minorHAnsi"/>
          <w:sz w:val="22"/>
          <w:szCs w:val="22"/>
          <w:lang w:val="en-US"/>
        </w:rPr>
        <w:t xml:space="preserve">The Staff prepares the draft decision based on the report of the expedited review or the minutes of the meeting in the full review. </w:t>
      </w:r>
      <w:r w:rsidRPr="008E342E">
        <w:rPr>
          <w:rFonts w:asciiTheme="minorHAnsi" w:hAnsiTheme="minorHAnsi" w:cstheme="minorHAnsi"/>
          <w:sz w:val="22"/>
          <w:szCs w:val="22"/>
        </w:rPr>
        <w:t xml:space="preserve"> </w:t>
      </w:r>
      <w:r w:rsidRPr="008E342E">
        <w:rPr>
          <w:rFonts w:asciiTheme="minorHAnsi" w:hAnsiTheme="minorHAnsi" w:cstheme="minorHAnsi"/>
          <w:sz w:val="22"/>
          <w:szCs w:val="22"/>
          <w:lang w:val="en-US"/>
        </w:rPr>
        <w:t>Possible decisions include one or several of the following: (1) submission of additional information, (2) submission of corrective action, (3) invitation to a clarificatory interview, (4) Requirement for an amendment (5) site visit, (6) suspension of recruitment, and (7) withdrawal of ethical clearance.</w:t>
      </w:r>
    </w:p>
    <w:p w14:paraId="637A5D97" w14:textId="77777777" w:rsidR="00884F3C" w:rsidRPr="008E342E" w:rsidRDefault="00884F3C" w:rsidP="00884F3C">
      <w:pPr>
        <w:pStyle w:val="FreeForm"/>
        <w:spacing w:line="276" w:lineRule="auto"/>
        <w:jc w:val="both"/>
        <w:rPr>
          <w:rFonts w:asciiTheme="minorHAnsi" w:eastAsia="Times" w:hAnsiTheme="minorHAnsi" w:cstheme="minorHAnsi"/>
          <w:sz w:val="22"/>
          <w:szCs w:val="22"/>
        </w:rPr>
      </w:pPr>
    </w:p>
    <w:p w14:paraId="68654DA8" w14:textId="71C40EF2" w:rsidR="00884F3C" w:rsidRPr="008E342E" w:rsidRDefault="00884F3C" w:rsidP="00884F3C">
      <w:pPr>
        <w:pStyle w:val="FreeForm"/>
        <w:spacing w:after="240" w:line="276" w:lineRule="auto"/>
        <w:jc w:val="both"/>
        <w:rPr>
          <w:rFonts w:asciiTheme="minorHAnsi" w:eastAsia="Times" w:hAnsiTheme="minorHAnsi" w:cstheme="minorHAnsi"/>
          <w:sz w:val="22"/>
          <w:szCs w:val="22"/>
        </w:rPr>
      </w:pPr>
      <w:r w:rsidRPr="008E342E">
        <w:rPr>
          <w:rFonts w:asciiTheme="minorHAnsi" w:hAnsiTheme="minorHAnsi" w:cstheme="minorHAnsi"/>
          <w:sz w:val="22"/>
          <w:szCs w:val="22"/>
        </w:rPr>
        <w:t xml:space="preserve">Step 7 - </w:t>
      </w:r>
      <w:r w:rsidRPr="008E342E">
        <w:rPr>
          <w:rFonts w:asciiTheme="minorHAnsi" w:hAnsiTheme="minorHAnsi" w:cstheme="minorHAnsi"/>
          <w:sz w:val="22"/>
          <w:szCs w:val="22"/>
          <w:lang w:val="en-US"/>
        </w:rPr>
        <w:t>Filing of all related documents and update of the protocol database. Staff collates and files the retrieved protocol documents, the report on protocol deviation and violation and the decision letter in the appropriate protocol file and updates the protocol database with the relevant information.</w:t>
      </w:r>
    </w:p>
    <w:p w14:paraId="5E298EF7" w14:textId="46911517" w:rsidR="00951D64" w:rsidRDefault="00951D64" w:rsidP="00951D64">
      <w:pPr>
        <w:pStyle w:val="NoSpacing"/>
        <w:jc w:val="center"/>
        <w:rPr>
          <w:rFonts w:cstheme="minorHAnsi"/>
        </w:rPr>
      </w:pPr>
    </w:p>
    <w:p w14:paraId="46E2FE81" w14:textId="77777777" w:rsidR="00EE4DC5" w:rsidRPr="00951D64" w:rsidRDefault="00EE4DC5" w:rsidP="00951D64">
      <w:pPr>
        <w:pStyle w:val="NoSpacing"/>
        <w:jc w:val="center"/>
        <w:rPr>
          <w:rFonts w:cstheme="minorHAnsi"/>
        </w:rPr>
      </w:pPr>
    </w:p>
    <w:p w14:paraId="0EE3789C" w14:textId="03E28692" w:rsidR="00A30117" w:rsidRDefault="00C52B74" w:rsidP="00A30117">
      <w:pPr>
        <w:rPr>
          <w:b/>
          <w:bCs/>
        </w:rPr>
      </w:pPr>
      <w:r w:rsidRPr="00C52B74">
        <w:rPr>
          <w:b/>
          <w:bCs/>
        </w:rPr>
        <w:t>Forms:</w:t>
      </w:r>
    </w:p>
    <w:p w14:paraId="65E092AA" w14:textId="1A4A20D3" w:rsidR="008E342E" w:rsidRPr="008E342E" w:rsidRDefault="005663EE" w:rsidP="008E342E">
      <w:pPr>
        <w:pStyle w:val="FreeForm"/>
        <w:spacing w:line="276" w:lineRule="auto"/>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10 </w:t>
      </w:r>
      <w:r w:rsidR="008E342E" w:rsidRPr="008E342E">
        <w:rPr>
          <w:rFonts w:asciiTheme="minorHAnsi" w:hAnsiTheme="minorHAnsi" w:cstheme="minorHAnsi"/>
          <w:sz w:val="22"/>
          <w:szCs w:val="22"/>
        </w:rPr>
        <w:t>Form 017  Protocol Deviation/Violation  Report Form</w:t>
      </w:r>
    </w:p>
    <w:p w14:paraId="432850A1" w14:textId="5ED239E8" w:rsidR="005D030B" w:rsidRPr="008E342E" w:rsidRDefault="008E342E" w:rsidP="008E342E">
      <w:pPr>
        <w:pStyle w:val="FreeForm"/>
        <w:spacing w:line="276" w:lineRule="auto"/>
        <w:ind w:left="720"/>
        <w:jc w:val="both"/>
        <w:rPr>
          <w:rFonts w:asciiTheme="minorHAnsi" w:eastAsia="Times" w:hAnsiTheme="minorHAnsi" w:cstheme="minorHAnsi"/>
          <w:sz w:val="22"/>
          <w:szCs w:val="22"/>
        </w:rPr>
      </w:pPr>
      <w:r w:rsidRPr="008E342E">
        <w:rPr>
          <w:rFonts w:asciiTheme="minorHAnsi" w:hAnsiTheme="minorHAnsi" w:cstheme="minorHAnsi"/>
          <w:sz w:val="22"/>
          <w:szCs w:val="22"/>
          <w:lang w:val="en-US"/>
        </w:rPr>
        <w:t>Form 008 Decision Letter Template</w:t>
      </w:r>
    </w:p>
    <w:p w14:paraId="10E1C2AD" w14:textId="60AB1ACE" w:rsidR="00312F49" w:rsidRPr="00EC6D8A" w:rsidRDefault="00312F49" w:rsidP="00312F49">
      <w:pPr>
        <w:ind w:firstLine="709"/>
        <w:rPr>
          <w:rFonts w:eastAsia="MS Mincho" w:cstheme="minorHAnsi"/>
          <w:b/>
        </w:rPr>
      </w:pPr>
    </w:p>
    <w:p w14:paraId="615F3CAC" w14:textId="77777777" w:rsidR="00312F49" w:rsidRDefault="00312F49" w:rsidP="00312F49">
      <w:pPr>
        <w:ind w:left="2160" w:firstLine="720"/>
        <w:rPr>
          <w:rFonts w:ascii="Calibri" w:eastAsia="MS Mincho" w:hAnsi="Calibri" w:cs="Calibr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E6628F">
        <w:tc>
          <w:tcPr>
            <w:tcW w:w="1555" w:type="dxa"/>
          </w:tcPr>
          <w:p w14:paraId="3A1D4721" w14:textId="77777777" w:rsidR="00951D64" w:rsidRDefault="00951D64" w:rsidP="00E6628F">
            <w:pPr>
              <w:rPr>
                <w:rFonts w:cstheme="minorHAnsi"/>
                <w:b/>
              </w:rPr>
            </w:pPr>
            <w:r>
              <w:rPr>
                <w:rFonts w:cstheme="minorHAnsi"/>
                <w:b/>
              </w:rPr>
              <w:t>Version No.</w:t>
            </w:r>
          </w:p>
        </w:tc>
        <w:tc>
          <w:tcPr>
            <w:tcW w:w="1984" w:type="dxa"/>
          </w:tcPr>
          <w:p w14:paraId="103E8778" w14:textId="77777777" w:rsidR="00951D64" w:rsidRDefault="00951D64" w:rsidP="00E6628F">
            <w:pPr>
              <w:rPr>
                <w:rFonts w:cstheme="minorHAnsi"/>
                <w:b/>
              </w:rPr>
            </w:pPr>
            <w:r>
              <w:rPr>
                <w:rFonts w:cstheme="minorHAnsi"/>
                <w:b/>
              </w:rPr>
              <w:t>Date</w:t>
            </w:r>
          </w:p>
        </w:tc>
        <w:tc>
          <w:tcPr>
            <w:tcW w:w="2410" w:type="dxa"/>
          </w:tcPr>
          <w:p w14:paraId="49DFCF33" w14:textId="77777777" w:rsidR="00951D64" w:rsidRDefault="00951D64" w:rsidP="00E6628F">
            <w:pPr>
              <w:rPr>
                <w:rFonts w:cstheme="minorHAnsi"/>
                <w:b/>
              </w:rPr>
            </w:pPr>
            <w:r>
              <w:rPr>
                <w:rFonts w:cstheme="minorHAnsi"/>
                <w:b/>
              </w:rPr>
              <w:t>Authors</w:t>
            </w:r>
          </w:p>
        </w:tc>
        <w:tc>
          <w:tcPr>
            <w:tcW w:w="3401" w:type="dxa"/>
          </w:tcPr>
          <w:p w14:paraId="2A1CB1BE" w14:textId="77777777" w:rsidR="00951D64" w:rsidRDefault="00951D64" w:rsidP="00E6628F">
            <w:pPr>
              <w:rPr>
                <w:rFonts w:cstheme="minorHAnsi"/>
                <w:b/>
              </w:rPr>
            </w:pPr>
            <w:r>
              <w:rPr>
                <w:rFonts w:cstheme="minorHAnsi"/>
                <w:b/>
              </w:rPr>
              <w:t>Main Change</w:t>
            </w:r>
          </w:p>
        </w:tc>
      </w:tr>
      <w:tr w:rsidR="00666717" w14:paraId="2D8F1BD0" w14:textId="77777777" w:rsidTr="00E6628F">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33483229" w:rsidR="00666717" w:rsidRDefault="00B66812" w:rsidP="00666717">
            <w:pPr>
              <w:rPr>
                <w:rFonts w:cstheme="minorHAnsi"/>
                <w:b/>
              </w:rPr>
            </w:pPr>
            <w:r w:rsidRPr="00711CBA">
              <w:rPr>
                <w:rFonts w:cstheme="minorHAnsi"/>
              </w:rPr>
              <w:t>01/28/2015</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8252E8" w14:paraId="594D7201" w14:textId="77777777" w:rsidTr="00E6628F">
        <w:tc>
          <w:tcPr>
            <w:tcW w:w="1555" w:type="dxa"/>
          </w:tcPr>
          <w:p w14:paraId="048AD328" w14:textId="353C24C5" w:rsidR="008252E8" w:rsidRPr="00DF7BAD" w:rsidRDefault="008252E8" w:rsidP="00666717">
            <w:pPr>
              <w:rPr>
                <w:rFonts w:cstheme="minorHAnsi"/>
                <w:bCs/>
              </w:rPr>
            </w:pPr>
            <w:r>
              <w:rPr>
                <w:rFonts w:cstheme="minorHAnsi"/>
                <w:bCs/>
              </w:rPr>
              <w:t>02</w:t>
            </w:r>
          </w:p>
        </w:tc>
        <w:tc>
          <w:tcPr>
            <w:tcW w:w="1984" w:type="dxa"/>
          </w:tcPr>
          <w:p w14:paraId="5CD3684A" w14:textId="134C89B7" w:rsidR="008252E8" w:rsidRPr="00711CBA" w:rsidRDefault="008252E8" w:rsidP="00666717">
            <w:pPr>
              <w:rPr>
                <w:rFonts w:cstheme="minorHAnsi"/>
              </w:rPr>
            </w:pPr>
            <w:r>
              <w:rPr>
                <w:rFonts w:cstheme="minorHAnsi"/>
              </w:rPr>
              <w:t>03/05/2021</w:t>
            </w:r>
          </w:p>
        </w:tc>
        <w:tc>
          <w:tcPr>
            <w:tcW w:w="2410" w:type="dxa"/>
          </w:tcPr>
          <w:p w14:paraId="3554D904" w14:textId="2A62C181" w:rsidR="008252E8" w:rsidRPr="008252E8" w:rsidRDefault="008252E8" w:rsidP="00666717">
            <w:pPr>
              <w:rPr>
                <w:rFonts w:cstheme="minorHAnsi"/>
                <w:bCs/>
              </w:rPr>
            </w:pPr>
            <w:r w:rsidRPr="008252E8">
              <w:rPr>
                <w:rFonts w:cstheme="minorHAnsi"/>
                <w:bCs/>
              </w:rPr>
              <w:t>krva</w:t>
            </w:r>
          </w:p>
        </w:tc>
        <w:tc>
          <w:tcPr>
            <w:tcW w:w="3401" w:type="dxa"/>
          </w:tcPr>
          <w:p w14:paraId="087AF14D" w14:textId="77777777" w:rsidR="008252E8" w:rsidRPr="00F4262D" w:rsidRDefault="008252E8" w:rsidP="008252E8">
            <w:pPr>
              <w:rPr>
                <w:rFonts w:cstheme="minorHAnsi"/>
                <w:bCs/>
                <w:sz w:val="24"/>
                <w:szCs w:val="24"/>
              </w:rPr>
            </w:pPr>
            <w:r w:rsidRPr="00F4262D">
              <w:rPr>
                <w:rFonts w:cstheme="minorHAnsi"/>
                <w:bCs/>
                <w:sz w:val="24"/>
                <w:szCs w:val="24"/>
              </w:rPr>
              <w:t>Criteria for early termination when protocol violation / deviation is committed.</w:t>
            </w:r>
          </w:p>
          <w:p w14:paraId="13164B24" w14:textId="6F87BE62" w:rsidR="008252E8" w:rsidRDefault="008252E8" w:rsidP="008252E8">
            <w:pPr>
              <w:rPr>
                <w:rFonts w:cstheme="minorHAnsi"/>
                <w:b/>
              </w:rPr>
            </w:pPr>
            <w:r w:rsidRPr="00F4262D">
              <w:rPr>
                <w:rFonts w:cstheme="minorHAnsi"/>
                <w:bCs/>
                <w:sz w:val="24"/>
                <w:szCs w:val="24"/>
              </w:rPr>
              <w:t>Definition of major and minor violation/ deviation.</w:t>
            </w:r>
          </w:p>
        </w:tc>
      </w:tr>
      <w:tr w:rsidR="00666717" w14:paraId="0DFA7B33" w14:textId="77777777" w:rsidTr="00E6628F">
        <w:tc>
          <w:tcPr>
            <w:tcW w:w="1555" w:type="dxa"/>
          </w:tcPr>
          <w:p w14:paraId="67D04721" w14:textId="70BAC183" w:rsidR="00666717" w:rsidRPr="00F36643" w:rsidRDefault="00666717" w:rsidP="00666717">
            <w:pPr>
              <w:rPr>
                <w:rFonts w:cstheme="minorHAnsi"/>
                <w:bCs/>
              </w:rPr>
            </w:pPr>
            <w:r w:rsidRPr="00F36643">
              <w:rPr>
                <w:rFonts w:cstheme="minorHAnsi"/>
                <w:bCs/>
              </w:rPr>
              <w:t>0</w:t>
            </w:r>
            <w:r w:rsidR="008252E8">
              <w:rPr>
                <w:rFonts w:cstheme="minorHAnsi"/>
                <w:bCs/>
              </w:rPr>
              <w:t>3</w:t>
            </w:r>
          </w:p>
        </w:tc>
        <w:tc>
          <w:tcPr>
            <w:tcW w:w="1984" w:type="dxa"/>
          </w:tcPr>
          <w:p w14:paraId="3C45B373" w14:textId="67EB8839" w:rsidR="00666717" w:rsidRPr="00F36643" w:rsidRDefault="000A3F71" w:rsidP="00666717">
            <w:pPr>
              <w:rPr>
                <w:rFonts w:cstheme="minorHAnsi"/>
                <w:bCs/>
              </w:rPr>
            </w:pPr>
            <w:r>
              <w:rPr>
                <w:rFonts w:cstheme="minorHAnsi"/>
                <w:bCs/>
              </w:rPr>
              <w:t>09/22/2022</w:t>
            </w:r>
          </w:p>
        </w:tc>
        <w:tc>
          <w:tcPr>
            <w:tcW w:w="2410" w:type="dxa"/>
          </w:tcPr>
          <w:p w14:paraId="59022349" w14:textId="1B731828" w:rsidR="00666717" w:rsidRPr="00F36643" w:rsidRDefault="00666717" w:rsidP="00666717">
            <w:pPr>
              <w:rPr>
                <w:rFonts w:cstheme="minorHAnsi"/>
                <w:bCs/>
              </w:rPr>
            </w:pPr>
            <w:r>
              <w:rPr>
                <w:rFonts w:cstheme="minorHAnsi"/>
                <w:bCs/>
              </w:rPr>
              <w:t>krva</w:t>
            </w:r>
          </w:p>
        </w:tc>
        <w:tc>
          <w:tcPr>
            <w:tcW w:w="3401" w:type="dxa"/>
          </w:tcPr>
          <w:p w14:paraId="42107F8F" w14:textId="256D73E6" w:rsidR="00666717" w:rsidRPr="00F36643" w:rsidRDefault="00DF7BAD"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E5A0" w14:textId="77777777" w:rsidR="00057C88" w:rsidRDefault="00057C88" w:rsidP="000F5BBB">
      <w:pPr>
        <w:spacing w:after="0" w:line="240" w:lineRule="auto"/>
      </w:pPr>
      <w:r>
        <w:separator/>
      </w:r>
    </w:p>
  </w:endnote>
  <w:endnote w:type="continuationSeparator" w:id="0">
    <w:p w14:paraId="6BA62D69" w14:textId="77777777" w:rsidR="00057C88" w:rsidRDefault="00057C88"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BEE6" w14:textId="77777777" w:rsidR="00057C88" w:rsidRDefault="00057C88" w:rsidP="000F5BBB">
      <w:pPr>
        <w:spacing w:after="0" w:line="240" w:lineRule="auto"/>
      </w:pPr>
      <w:r>
        <w:separator/>
      </w:r>
    </w:p>
  </w:footnote>
  <w:footnote w:type="continuationSeparator" w:id="0">
    <w:p w14:paraId="7FCB8715" w14:textId="77777777" w:rsidR="00057C88" w:rsidRDefault="00057C88"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2D35B59"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2D9F0D67"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10</w:t>
          </w:r>
        </w:p>
        <w:p w14:paraId="3C3BB7F2" w14:textId="243BDD19" w:rsidR="00834FC3" w:rsidRPr="00F93EE5" w:rsidRDefault="00884F3C" w:rsidP="00DE543B">
          <w:pPr>
            <w:pStyle w:val="FreeForm"/>
            <w:spacing w:line="276" w:lineRule="auto"/>
            <w:jc w:val="center"/>
            <w:rPr>
              <w:rFonts w:ascii="Trebuchet MS" w:hAnsi="Trebuchet MS"/>
              <w:color w:val="auto"/>
              <w:sz w:val="22"/>
              <w:szCs w:val="22"/>
            </w:rPr>
          </w:pPr>
          <w:r>
            <w:rPr>
              <w:rFonts w:ascii="Palatino Linotype" w:hAnsi="Palatino Linotype"/>
              <w:b/>
              <w:sz w:val="28"/>
              <w:szCs w:val="32"/>
            </w:rPr>
            <w:t>Management of Protocol Deviation and Violation Report</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16BEDEF2"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8252E8">
            <w:rPr>
              <w:rFonts w:ascii="Palatino Linotype" w:hAnsi="Palatino Linotype"/>
              <w:color w:val="auto"/>
              <w:sz w:val="22"/>
              <w:szCs w:val="22"/>
            </w:rPr>
            <w:t>3</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0F2C8F8B"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884F3C">
            <w:rPr>
              <w:rFonts w:ascii="Palatino Linotype" w:hAnsi="Palatino Linotype"/>
              <w:color w:val="auto"/>
              <w:sz w:val="22"/>
              <w:szCs w:val="22"/>
            </w:rPr>
            <w:t>2</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33616"/>
    <w:rsid w:val="00057C88"/>
    <w:rsid w:val="00085131"/>
    <w:rsid w:val="000A370E"/>
    <w:rsid w:val="000A3F71"/>
    <w:rsid w:val="000C4FAD"/>
    <w:rsid w:val="000E5808"/>
    <w:rsid w:val="000E59F4"/>
    <w:rsid w:val="000F5BBB"/>
    <w:rsid w:val="000F5EBF"/>
    <w:rsid w:val="0010674E"/>
    <w:rsid w:val="00116664"/>
    <w:rsid w:val="00192295"/>
    <w:rsid w:val="001C3414"/>
    <w:rsid w:val="00312F49"/>
    <w:rsid w:val="00313032"/>
    <w:rsid w:val="003319AA"/>
    <w:rsid w:val="0033682D"/>
    <w:rsid w:val="003F00C4"/>
    <w:rsid w:val="004035E7"/>
    <w:rsid w:val="004A17E5"/>
    <w:rsid w:val="004C432A"/>
    <w:rsid w:val="004E1064"/>
    <w:rsid w:val="004E2CFA"/>
    <w:rsid w:val="004F45C4"/>
    <w:rsid w:val="004F5DBC"/>
    <w:rsid w:val="00541DDF"/>
    <w:rsid w:val="00566273"/>
    <w:rsid w:val="005663EE"/>
    <w:rsid w:val="00586530"/>
    <w:rsid w:val="0059759A"/>
    <w:rsid w:val="005D030B"/>
    <w:rsid w:val="005D4827"/>
    <w:rsid w:val="005E3FF0"/>
    <w:rsid w:val="005F1D50"/>
    <w:rsid w:val="0065282C"/>
    <w:rsid w:val="00666717"/>
    <w:rsid w:val="0068276F"/>
    <w:rsid w:val="0068348C"/>
    <w:rsid w:val="006F02EE"/>
    <w:rsid w:val="006F15A2"/>
    <w:rsid w:val="006F6ACC"/>
    <w:rsid w:val="007412D6"/>
    <w:rsid w:val="00761F05"/>
    <w:rsid w:val="00770EA5"/>
    <w:rsid w:val="008252E8"/>
    <w:rsid w:val="00834FC3"/>
    <w:rsid w:val="008660BC"/>
    <w:rsid w:val="00884F3C"/>
    <w:rsid w:val="008A15C2"/>
    <w:rsid w:val="008A4E19"/>
    <w:rsid w:val="008C3860"/>
    <w:rsid w:val="008E342E"/>
    <w:rsid w:val="008F6F8E"/>
    <w:rsid w:val="00900626"/>
    <w:rsid w:val="00910B54"/>
    <w:rsid w:val="009503C0"/>
    <w:rsid w:val="00951D64"/>
    <w:rsid w:val="00981EC1"/>
    <w:rsid w:val="00990305"/>
    <w:rsid w:val="009C5AC3"/>
    <w:rsid w:val="00A22B7A"/>
    <w:rsid w:val="00A30117"/>
    <w:rsid w:val="00A700F4"/>
    <w:rsid w:val="00A7265A"/>
    <w:rsid w:val="00A92149"/>
    <w:rsid w:val="00A94389"/>
    <w:rsid w:val="00AC30BB"/>
    <w:rsid w:val="00AD6438"/>
    <w:rsid w:val="00AF0443"/>
    <w:rsid w:val="00B41012"/>
    <w:rsid w:val="00B66812"/>
    <w:rsid w:val="00BE3FA1"/>
    <w:rsid w:val="00BF39E9"/>
    <w:rsid w:val="00C4125B"/>
    <w:rsid w:val="00C52B74"/>
    <w:rsid w:val="00C96508"/>
    <w:rsid w:val="00CE19A3"/>
    <w:rsid w:val="00CF3FE6"/>
    <w:rsid w:val="00D23B5E"/>
    <w:rsid w:val="00D579F2"/>
    <w:rsid w:val="00D66566"/>
    <w:rsid w:val="00DD2CFA"/>
    <w:rsid w:val="00DE543B"/>
    <w:rsid w:val="00DF7BAD"/>
    <w:rsid w:val="00E0404E"/>
    <w:rsid w:val="00E60A3B"/>
    <w:rsid w:val="00E6628F"/>
    <w:rsid w:val="00E73F9C"/>
    <w:rsid w:val="00EC21B8"/>
    <w:rsid w:val="00EC6D8A"/>
    <w:rsid w:val="00EE4DC5"/>
    <w:rsid w:val="00F85A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5172E6F9-61FD-4030-9AB7-EE61FFAC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485</Words>
  <Characters>3789</Characters>
  <Application>Microsoft Office Word</Application>
  <DocSecurity>0</DocSecurity>
  <Lines>541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2022-09-21T22:38:00Z</dcterms:created>
  <dcterms:modified xsi:type="dcterms:W3CDTF">2024-02-08T11:14:00Z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4603c112d85361f940ff38accb850ef71ef7cf4d0740284ca58e0f5e0f026694</vt:lpwstr>
  </property>
</Properties>
</file>