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711CBA" w:rsidRDefault="00F85AE6" w:rsidP="00F85AE6">
      <w:pPr>
        <w:pStyle w:val="NoSpacing"/>
        <w:rPr>
          <w:rFonts w:cstheme="minorHAnsi"/>
        </w:rPr>
      </w:pPr>
    </w:p>
    <w:p w14:paraId="3F04AF1B" w14:textId="19026519" w:rsidR="00197503" w:rsidRDefault="00312F49" w:rsidP="00EC6D8A">
      <w:pPr>
        <w:pStyle w:val="NoSpacing"/>
        <w:jc w:val="both"/>
        <w:rPr>
          <w:rFonts w:cstheme="minorHAnsi"/>
        </w:rPr>
      </w:pPr>
      <w:r w:rsidRPr="00197503">
        <w:rPr>
          <w:rFonts w:cstheme="minorHAnsi"/>
          <w:highlight w:val="yellow"/>
        </w:rPr>
        <w:t xml:space="preserve">The REC shall require a resubmission of a protocol that requires either minor or major modification/s not later than 4 weeks after receipt of the Decision Letter. </w:t>
      </w:r>
      <w:r w:rsidR="00197503" w:rsidRPr="00197503">
        <w:rPr>
          <w:rFonts w:cstheme="minorHAnsi"/>
          <w:bCs/>
          <w:color w:val="000000" w:themeColor="text1"/>
          <w:highlight w:val="yellow"/>
        </w:rPr>
        <w:t>Resubmissions shall go to the same primary reviewers. Protocols from expedited initial review shall undergo Expedited review but full initial review with minor modification may undergo Expedited review and major revisions shall undergo full review.</w:t>
      </w:r>
    </w:p>
    <w:p w14:paraId="2E1A1C71" w14:textId="77777777" w:rsidR="00312F49" w:rsidRDefault="00312F49" w:rsidP="00312F49">
      <w:pPr>
        <w:pStyle w:val="NoSpacing"/>
        <w:rPr>
          <w:rFonts w:cstheme="minorHAnsi"/>
          <w:b/>
        </w:rPr>
      </w:pPr>
    </w:p>
    <w:p w14:paraId="6D3886B6" w14:textId="2E0C5CFA" w:rsidR="00F85AE6" w:rsidRPr="00711CBA" w:rsidRDefault="00F85AE6" w:rsidP="00F85AE6">
      <w:pPr>
        <w:pStyle w:val="NoSpacing"/>
        <w:jc w:val="center"/>
        <w:rPr>
          <w:rFonts w:cstheme="minorHAnsi"/>
          <w:b/>
        </w:rPr>
      </w:pPr>
      <w:r w:rsidRPr="00711CBA">
        <w:rPr>
          <w:rFonts w:cstheme="minorHAnsi"/>
          <w:b/>
        </w:rPr>
        <w:t>Objectives of the SOP</w:t>
      </w:r>
    </w:p>
    <w:p w14:paraId="2C94D826" w14:textId="77777777" w:rsidR="00F85AE6" w:rsidRPr="00711CBA" w:rsidRDefault="00F85AE6" w:rsidP="00F85AE6">
      <w:pPr>
        <w:pStyle w:val="NoSpacing"/>
        <w:rPr>
          <w:rFonts w:cstheme="minorHAnsi"/>
        </w:rPr>
      </w:pPr>
    </w:p>
    <w:p w14:paraId="07E998FD" w14:textId="0215FA6D" w:rsidR="00EC21B8" w:rsidRPr="00EC6D8A" w:rsidRDefault="00312F49" w:rsidP="00EC6D8A">
      <w:pPr>
        <w:pStyle w:val="NoSpacing"/>
        <w:jc w:val="both"/>
        <w:rPr>
          <w:rFonts w:cstheme="minorHAnsi"/>
          <w:b/>
        </w:rPr>
      </w:pPr>
      <w:r w:rsidRPr="00EC6D8A">
        <w:rPr>
          <w:rFonts w:cstheme="minorHAnsi"/>
        </w:rPr>
        <w:t>Management of resubmission ensures that the researcher addressed the required modifications before approval of the protocol.</w:t>
      </w:r>
    </w:p>
    <w:p w14:paraId="706522D7" w14:textId="77777777" w:rsidR="00EC6D8A" w:rsidRDefault="00EC6D8A" w:rsidP="004A17E5">
      <w:pPr>
        <w:pStyle w:val="NoSpacing"/>
        <w:jc w:val="center"/>
        <w:rPr>
          <w:rFonts w:cstheme="minorHAnsi"/>
          <w:b/>
        </w:rPr>
      </w:pPr>
    </w:p>
    <w:p w14:paraId="3AEE443D" w14:textId="08FD16EC" w:rsidR="00F85AE6" w:rsidRPr="006F15A2" w:rsidRDefault="00F85AE6" w:rsidP="004A17E5">
      <w:pPr>
        <w:pStyle w:val="NoSpacing"/>
        <w:jc w:val="center"/>
        <w:rPr>
          <w:rFonts w:cstheme="minorHAnsi"/>
          <w:b/>
        </w:rPr>
      </w:pPr>
      <w:r w:rsidRPr="006F15A2">
        <w:rPr>
          <w:rFonts w:cstheme="minorHAnsi"/>
          <w:b/>
        </w:rPr>
        <w:t>Scope/Applicability</w:t>
      </w:r>
    </w:p>
    <w:p w14:paraId="61BCAEDA" w14:textId="77777777" w:rsidR="00F85AE6" w:rsidRPr="006F15A2" w:rsidRDefault="00F85AE6" w:rsidP="004A17E5">
      <w:pPr>
        <w:pStyle w:val="NoSpacing"/>
        <w:rPr>
          <w:rFonts w:cstheme="minorHAnsi"/>
        </w:rPr>
      </w:pPr>
    </w:p>
    <w:p w14:paraId="4AA93AC5" w14:textId="77777777" w:rsidR="00312F49" w:rsidRPr="00EC6D8A" w:rsidRDefault="00312F49" w:rsidP="00EC6D8A">
      <w:pPr>
        <w:pStyle w:val="FreeForm"/>
        <w:spacing w:after="160"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lang w:val="en-US"/>
        </w:rPr>
        <w:t xml:space="preserve">This SOP pertains to the resubmission of revised or modified protocols that have been previously reviewed by the REC. The procedure begins with the receipt of the revised protocol documents and ends with filing of the documents in the protocol file and the entry of the submission in the protocol   database. </w:t>
      </w:r>
    </w:p>
    <w:p w14:paraId="7E15E164" w14:textId="77777777" w:rsidR="00EC21B8" w:rsidRDefault="00EC21B8" w:rsidP="0059759A">
      <w:pPr>
        <w:pStyle w:val="NoSpacing"/>
        <w:jc w:val="center"/>
        <w:rPr>
          <w:rFonts w:cstheme="minorHAnsi"/>
          <w:b/>
        </w:rPr>
      </w:pPr>
    </w:p>
    <w:p w14:paraId="333A750E" w14:textId="671DD233" w:rsidR="0059759A" w:rsidRDefault="0059759A" w:rsidP="0059759A">
      <w:pPr>
        <w:pStyle w:val="NoSpacing"/>
        <w:jc w:val="center"/>
        <w:rPr>
          <w:rFonts w:cstheme="minorHAnsi"/>
          <w:b/>
        </w:rPr>
      </w:pPr>
      <w:r>
        <w:rPr>
          <w:rFonts w:cstheme="minorHAnsi"/>
          <w:b/>
        </w:rPr>
        <w:t>Flowchart</w:t>
      </w:r>
    </w:p>
    <w:p w14:paraId="1B1EFFB7" w14:textId="77777777" w:rsidR="0059759A" w:rsidRPr="00711CBA" w:rsidRDefault="0059759A" w:rsidP="0059759A">
      <w:pPr>
        <w:pStyle w:val="NoSpacing"/>
        <w:jc w:val="center"/>
        <w:rPr>
          <w:rFonts w:cstheme="minorHAnsi"/>
          <w:b/>
        </w:rPr>
      </w:pPr>
    </w:p>
    <w:tbl>
      <w:tblPr>
        <w:tblW w:w="9161"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909"/>
        <w:gridCol w:w="2126"/>
        <w:gridCol w:w="2126"/>
      </w:tblGrid>
      <w:tr w:rsidR="004C432A" w:rsidRPr="00EC6D8A" w14:paraId="2D5AD514" w14:textId="073C1AA6" w:rsidTr="004C432A">
        <w:trPr>
          <w:trHeight w:val="209"/>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6088F02" w14:textId="77777777" w:rsidR="004C432A" w:rsidRPr="00EC6D8A" w:rsidRDefault="004C432A" w:rsidP="00CA10D9">
            <w:pPr>
              <w:pStyle w:val="FreeForm"/>
              <w:spacing w:line="276" w:lineRule="auto"/>
              <w:jc w:val="center"/>
              <w:rPr>
                <w:rFonts w:asciiTheme="minorHAnsi" w:hAnsiTheme="minorHAnsi" w:cstheme="minorHAnsi"/>
                <w:sz w:val="22"/>
                <w:szCs w:val="22"/>
              </w:rPr>
            </w:pPr>
            <w:r w:rsidRPr="00EC6D8A">
              <w:rPr>
                <w:rFonts w:asciiTheme="minorHAnsi" w:hAnsiTheme="minorHAnsi" w:cstheme="minorHAnsi"/>
                <w:b/>
                <w:bCs/>
                <w:sz w:val="22"/>
                <w:szCs w:val="22"/>
              </w:rPr>
              <w:t>ACTIVITY</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162FB98" w14:textId="77777777" w:rsidR="004C432A" w:rsidRPr="00EC6D8A" w:rsidRDefault="004C432A" w:rsidP="00CA10D9">
            <w:pPr>
              <w:pStyle w:val="FreeForm"/>
              <w:spacing w:line="276" w:lineRule="auto"/>
              <w:jc w:val="center"/>
              <w:rPr>
                <w:rFonts w:asciiTheme="minorHAnsi" w:hAnsiTheme="minorHAnsi" w:cstheme="minorHAnsi"/>
                <w:sz w:val="22"/>
                <w:szCs w:val="22"/>
              </w:rPr>
            </w:pPr>
            <w:r w:rsidRPr="00EC6D8A">
              <w:rPr>
                <w:rFonts w:asciiTheme="minorHAnsi" w:hAnsiTheme="minorHAnsi" w:cstheme="minorHAnsi"/>
                <w:b/>
                <w:bCs/>
                <w:sz w:val="22"/>
                <w:szCs w:val="22"/>
              </w:rPr>
              <w:t>RESPONSIBLE PERSONS</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27D7148B" w14:textId="0FE1E1A2" w:rsidR="004C432A" w:rsidRPr="00EC6D8A" w:rsidRDefault="004C432A" w:rsidP="00CA10D9">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4C432A" w:rsidRPr="00EC6D8A" w14:paraId="38D5017B" w14:textId="013BE1DB" w:rsidTr="004C432A">
        <w:trPr>
          <w:trHeight w:val="147"/>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369C184" w14:textId="77777777" w:rsidR="004C432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Step 1: Receipt and Entry in the Logbook</w:t>
            </w:r>
            <w:r w:rsidR="00197503">
              <w:rPr>
                <w:rFonts w:asciiTheme="minorHAnsi" w:hAnsiTheme="minorHAnsi" w:cstheme="minorHAnsi"/>
                <w:sz w:val="22"/>
                <w:szCs w:val="22"/>
              </w:rPr>
              <w:t>.</w:t>
            </w:r>
          </w:p>
          <w:p w14:paraId="10AD3876" w14:textId="2B31AF5C" w:rsidR="00197503" w:rsidRPr="00EC6D8A" w:rsidRDefault="00197503" w:rsidP="00CA10D9">
            <w:pPr>
              <w:pStyle w:val="FreeForm"/>
              <w:spacing w:line="276" w:lineRule="auto"/>
              <w:jc w:val="both"/>
              <w:rPr>
                <w:rFonts w:asciiTheme="minorHAnsi" w:hAnsiTheme="minorHAnsi" w:cstheme="minorHAnsi"/>
                <w:b/>
                <w:bCs/>
                <w:sz w:val="22"/>
                <w:szCs w:val="22"/>
              </w:rPr>
            </w:pPr>
            <w:r w:rsidRPr="00EC6D8A">
              <w:rPr>
                <w:rFonts w:asciiTheme="minorHAnsi" w:hAnsiTheme="minorHAnsi" w:cstheme="minorHAnsi"/>
                <w:sz w:val="22"/>
                <w:szCs w:val="22"/>
              </w:rPr>
              <w:t>Coding of Resubmitted Protocol Documents</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05BB253" w14:textId="77777777" w:rsidR="004C432A" w:rsidRPr="00EC6D8A" w:rsidRDefault="004C432A" w:rsidP="00CA10D9">
            <w:pPr>
              <w:pStyle w:val="FreeForm"/>
              <w:spacing w:line="276" w:lineRule="auto"/>
              <w:jc w:val="both"/>
              <w:rPr>
                <w:rFonts w:asciiTheme="minorHAnsi" w:hAnsiTheme="minorHAnsi" w:cstheme="minorHAnsi"/>
                <w:bCs/>
                <w:sz w:val="22"/>
                <w:szCs w:val="22"/>
              </w:rPr>
            </w:pPr>
            <w:r w:rsidRPr="00EC6D8A">
              <w:rPr>
                <w:rFonts w:asciiTheme="minorHAnsi" w:hAnsiTheme="minorHAnsi" w:cstheme="minorHAnsi"/>
                <w:bCs/>
                <w:sz w:val="22"/>
                <w:szCs w:val="22"/>
              </w:rPr>
              <w:t>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71543B5D" w14:textId="0776E94D" w:rsidR="004C432A" w:rsidRPr="00EC6D8A" w:rsidRDefault="00AC3679" w:rsidP="00CA10D9">
            <w:pPr>
              <w:pStyle w:val="FreeForm"/>
              <w:spacing w:line="276" w:lineRule="auto"/>
              <w:jc w:val="both"/>
              <w:rPr>
                <w:rFonts w:asciiTheme="minorHAnsi" w:hAnsiTheme="minorHAnsi" w:cstheme="minorHAnsi"/>
                <w:bCs/>
                <w:sz w:val="22"/>
                <w:szCs w:val="22"/>
              </w:rPr>
            </w:pPr>
            <w:r>
              <w:rPr>
                <w:rFonts w:asciiTheme="minorHAnsi" w:hAnsiTheme="minorHAnsi" w:cstheme="minorHAnsi"/>
                <w:bCs/>
                <w:sz w:val="22"/>
                <w:szCs w:val="22"/>
              </w:rPr>
              <w:t>1 day</w:t>
            </w:r>
          </w:p>
        </w:tc>
      </w:tr>
      <w:tr w:rsidR="004C432A" w:rsidRPr="00EC6D8A" w14:paraId="746A57DA" w14:textId="160A37B0" w:rsidTr="004C432A">
        <w:trPr>
          <w:trHeight w:val="343"/>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C32217C" w14:textId="577981BF" w:rsidR="004C432A" w:rsidRPr="00EC6D8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 xml:space="preserve">Step </w:t>
            </w:r>
            <w:r w:rsidR="00197503">
              <w:rPr>
                <w:rFonts w:asciiTheme="minorHAnsi" w:hAnsiTheme="minorHAnsi" w:cstheme="minorHAnsi"/>
                <w:sz w:val="22"/>
                <w:szCs w:val="22"/>
              </w:rPr>
              <w:t>2</w:t>
            </w:r>
            <w:r w:rsidRPr="00EC6D8A">
              <w:rPr>
                <w:rFonts w:asciiTheme="minorHAnsi" w:hAnsiTheme="minorHAnsi" w:cstheme="minorHAnsi"/>
                <w:sz w:val="22"/>
                <w:szCs w:val="22"/>
              </w:rPr>
              <w:t>: Evaluation by the Chair or Notification of Reviewers and Reviewers</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A3B6A51" w14:textId="77777777" w:rsidR="004C432A" w:rsidRPr="00EC6D8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Chair and 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21071443" w14:textId="69B98FE9" w:rsidR="004C432A" w:rsidRPr="00EC6D8A" w:rsidRDefault="00AC3679"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4C432A" w:rsidRPr="00EC6D8A" w14:paraId="5B843E2B" w14:textId="27A10018" w:rsidTr="004C432A">
        <w:trPr>
          <w:trHeight w:val="850"/>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EB92967" w14:textId="45EA5C46" w:rsidR="004C432A" w:rsidRPr="00EC6D8A" w:rsidRDefault="004C432A" w:rsidP="00CA10D9">
            <w:pPr>
              <w:pStyle w:val="FreeForm"/>
              <w:spacing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lang w:val="en-US"/>
              </w:rPr>
              <w:t xml:space="preserve">Step </w:t>
            </w:r>
            <w:r w:rsidR="00197503">
              <w:rPr>
                <w:rFonts w:asciiTheme="minorHAnsi" w:hAnsiTheme="minorHAnsi" w:cstheme="minorHAnsi"/>
                <w:sz w:val="22"/>
                <w:szCs w:val="22"/>
                <w:lang w:val="en-US"/>
              </w:rPr>
              <w:t>3</w:t>
            </w:r>
            <w:r w:rsidRPr="00EC6D8A">
              <w:rPr>
                <w:rFonts w:asciiTheme="minorHAnsi" w:hAnsiTheme="minorHAnsi" w:cstheme="minorHAnsi"/>
                <w:sz w:val="22"/>
                <w:szCs w:val="22"/>
                <w:lang w:val="en-US"/>
              </w:rPr>
              <w:t>: Review of the Resubmission</w:t>
            </w:r>
          </w:p>
          <w:p w14:paraId="10761AC7" w14:textId="2516EA6A" w:rsidR="004C432A" w:rsidRPr="00EC6D8A" w:rsidRDefault="004C432A" w:rsidP="00312F49">
            <w:pPr>
              <w:pStyle w:val="FreeForm"/>
              <w:numPr>
                <w:ilvl w:val="0"/>
                <w:numId w:val="5"/>
              </w:numPr>
              <w:spacing w:line="276" w:lineRule="auto"/>
              <w:jc w:val="both"/>
              <w:rPr>
                <w:rFonts w:asciiTheme="minorHAnsi" w:hAnsiTheme="minorHAnsi" w:cstheme="minorHAnsi"/>
                <w:sz w:val="22"/>
                <w:szCs w:val="22"/>
                <w:lang w:val="en-US"/>
              </w:rPr>
            </w:pPr>
            <w:r w:rsidRPr="00EC6D8A">
              <w:rPr>
                <w:rFonts w:asciiTheme="minorHAnsi" w:hAnsiTheme="minorHAnsi" w:cstheme="minorHAnsi"/>
                <w:sz w:val="22"/>
                <w:szCs w:val="22"/>
                <w:lang w:val="en-US"/>
              </w:rPr>
              <w:t>Expedited Review (SOP#</w:t>
            </w:r>
            <w:r>
              <w:rPr>
                <w:rFonts w:asciiTheme="minorHAnsi" w:hAnsiTheme="minorHAnsi" w:cstheme="minorHAnsi"/>
                <w:sz w:val="22"/>
                <w:szCs w:val="22"/>
                <w:lang w:val="en-US"/>
              </w:rPr>
              <w:t xml:space="preserve"> 04</w:t>
            </w:r>
            <w:r w:rsidRPr="00EC6D8A">
              <w:rPr>
                <w:rFonts w:asciiTheme="minorHAnsi" w:hAnsiTheme="minorHAnsi" w:cstheme="minorHAnsi"/>
                <w:sz w:val="22"/>
                <w:szCs w:val="22"/>
                <w:lang w:val="en-US"/>
              </w:rPr>
              <w:t xml:space="preserve"> Expedited Review)</w:t>
            </w:r>
          </w:p>
          <w:p w14:paraId="1DEE0D47" w14:textId="5ED22911" w:rsidR="004C432A" w:rsidRPr="00EC6D8A" w:rsidRDefault="004C432A" w:rsidP="00312F49">
            <w:pPr>
              <w:pStyle w:val="FreeForm"/>
              <w:numPr>
                <w:ilvl w:val="0"/>
                <w:numId w:val="5"/>
              </w:numPr>
              <w:spacing w:line="276" w:lineRule="auto"/>
              <w:jc w:val="both"/>
              <w:rPr>
                <w:rFonts w:asciiTheme="minorHAnsi" w:hAnsiTheme="minorHAnsi" w:cstheme="minorHAnsi"/>
                <w:sz w:val="22"/>
                <w:szCs w:val="22"/>
                <w:lang w:val="en-US"/>
              </w:rPr>
            </w:pPr>
            <w:r w:rsidRPr="00EC6D8A">
              <w:rPr>
                <w:rFonts w:asciiTheme="minorHAnsi" w:hAnsiTheme="minorHAnsi" w:cstheme="minorHAnsi"/>
                <w:sz w:val="22"/>
                <w:szCs w:val="22"/>
                <w:lang w:val="en-US"/>
              </w:rPr>
              <w:t>Full Review (SOP#</w:t>
            </w:r>
            <w:r>
              <w:rPr>
                <w:rFonts w:asciiTheme="minorHAnsi" w:hAnsiTheme="minorHAnsi" w:cstheme="minorHAnsi"/>
                <w:sz w:val="22"/>
                <w:szCs w:val="22"/>
                <w:lang w:val="en-US"/>
              </w:rPr>
              <w:t xml:space="preserve"> 05</w:t>
            </w:r>
            <w:r w:rsidRPr="00EC6D8A">
              <w:rPr>
                <w:rFonts w:asciiTheme="minorHAnsi" w:hAnsiTheme="minorHAnsi" w:cstheme="minorHAnsi"/>
                <w:sz w:val="22"/>
                <w:szCs w:val="22"/>
                <w:lang w:val="en-US"/>
              </w:rPr>
              <w:t xml:space="preserve"> Full Review)</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0800D1F" w14:textId="77777777" w:rsidR="004C432A" w:rsidRPr="00EC6D8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 xml:space="preserve"> Assigned Reviewers</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668D6392" w14:textId="550C6F94" w:rsidR="004C432A" w:rsidRPr="00EC6D8A" w:rsidRDefault="00AC3679"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7 – 14 days</w:t>
            </w:r>
          </w:p>
        </w:tc>
      </w:tr>
      <w:tr w:rsidR="004C432A" w:rsidRPr="00EC6D8A" w14:paraId="6C2A04AE" w14:textId="5931C37C" w:rsidTr="004C432A">
        <w:trPr>
          <w:trHeight w:val="356"/>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0FBF22E" w14:textId="77777777" w:rsidR="004C432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lastRenderedPageBreak/>
              <w:t xml:space="preserve">Step </w:t>
            </w:r>
            <w:r w:rsidR="00197503">
              <w:rPr>
                <w:rFonts w:asciiTheme="minorHAnsi" w:hAnsiTheme="minorHAnsi" w:cstheme="minorHAnsi"/>
                <w:sz w:val="22"/>
                <w:szCs w:val="22"/>
              </w:rPr>
              <w:t>4</w:t>
            </w:r>
            <w:r w:rsidRPr="00EC6D8A">
              <w:rPr>
                <w:rFonts w:asciiTheme="minorHAnsi" w:hAnsiTheme="minorHAnsi" w:cstheme="minorHAnsi"/>
                <w:sz w:val="22"/>
                <w:szCs w:val="22"/>
              </w:rPr>
              <w:t>: Communication of Decision</w:t>
            </w:r>
          </w:p>
          <w:p w14:paraId="5C868B07" w14:textId="77777777" w:rsidR="00587B08" w:rsidRDefault="00587B08" w:rsidP="00587B08">
            <w:pPr>
              <w:pStyle w:val="FreeForm"/>
              <w:spacing w:after="16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Decision Points:</w:t>
            </w:r>
          </w:p>
          <w:p w14:paraId="30906DDA" w14:textId="77777777" w:rsidR="00587B08" w:rsidRDefault="00587B08" w:rsidP="00C66C60">
            <w:pPr>
              <w:pStyle w:val="FreeForm"/>
              <w:numPr>
                <w:ilvl w:val="0"/>
                <w:numId w:val="7"/>
              </w:numPr>
              <w:jc w:val="both"/>
              <w:rPr>
                <w:rFonts w:asciiTheme="minorHAnsi" w:hAnsiTheme="minorHAnsi" w:cstheme="minorHAnsi"/>
                <w:sz w:val="22"/>
                <w:szCs w:val="22"/>
                <w:lang w:val="en-US"/>
              </w:rPr>
            </w:pPr>
            <w:r>
              <w:rPr>
                <w:rFonts w:asciiTheme="minorHAnsi" w:hAnsiTheme="minorHAnsi" w:cstheme="minorHAnsi"/>
                <w:sz w:val="22"/>
                <w:szCs w:val="22"/>
                <w:lang w:val="en-US"/>
              </w:rPr>
              <w:t>Approved as submitted.</w:t>
            </w:r>
          </w:p>
          <w:p w14:paraId="2FD30F20" w14:textId="77777777" w:rsidR="00587B08" w:rsidRDefault="00587B08" w:rsidP="00C66C60">
            <w:pPr>
              <w:pStyle w:val="FreeForm"/>
              <w:numPr>
                <w:ilvl w:val="0"/>
                <w:numId w:val="7"/>
              </w:numPr>
              <w:jc w:val="both"/>
              <w:rPr>
                <w:rFonts w:asciiTheme="minorHAnsi" w:hAnsiTheme="minorHAnsi" w:cstheme="minorHAnsi"/>
                <w:sz w:val="22"/>
                <w:szCs w:val="22"/>
                <w:lang w:val="en-US"/>
              </w:rPr>
            </w:pPr>
            <w:r>
              <w:rPr>
                <w:rFonts w:asciiTheme="minorHAnsi" w:hAnsiTheme="minorHAnsi" w:cstheme="minorHAnsi"/>
                <w:sz w:val="22"/>
                <w:szCs w:val="22"/>
                <w:lang w:val="en-US"/>
              </w:rPr>
              <w:t>Approved conditionally; requires amendments, revisions and or clarifications.</w:t>
            </w:r>
          </w:p>
          <w:p w14:paraId="4EF80AAD" w14:textId="77777777" w:rsidR="00587B08" w:rsidRDefault="00587B08" w:rsidP="00C66C60">
            <w:pPr>
              <w:pStyle w:val="FreeForm"/>
              <w:numPr>
                <w:ilvl w:val="0"/>
                <w:numId w:val="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Major Revision/s </w:t>
            </w:r>
            <w:proofErr w:type="gramStart"/>
            <w:r>
              <w:rPr>
                <w:rFonts w:asciiTheme="minorHAnsi" w:hAnsiTheme="minorHAnsi" w:cstheme="minorHAnsi"/>
                <w:sz w:val="22"/>
                <w:szCs w:val="22"/>
                <w:lang w:val="en-US"/>
              </w:rPr>
              <w:t>required</w:t>
            </w:r>
            <w:proofErr w:type="gramEnd"/>
          </w:p>
          <w:p w14:paraId="1CBE76B3" w14:textId="77777777" w:rsidR="00587B08" w:rsidRDefault="00587B08" w:rsidP="00C66C60">
            <w:pPr>
              <w:pStyle w:val="FreeForm"/>
              <w:numPr>
                <w:ilvl w:val="0"/>
                <w:numId w:val="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Minor Revision/s </w:t>
            </w:r>
            <w:proofErr w:type="gramStart"/>
            <w:r>
              <w:rPr>
                <w:rFonts w:asciiTheme="minorHAnsi" w:hAnsiTheme="minorHAnsi" w:cstheme="minorHAnsi"/>
                <w:sz w:val="22"/>
                <w:szCs w:val="22"/>
                <w:lang w:val="en-US"/>
              </w:rPr>
              <w:t>required</w:t>
            </w:r>
            <w:proofErr w:type="gramEnd"/>
          </w:p>
          <w:p w14:paraId="7B51E4A3" w14:textId="04BDC6AB" w:rsidR="00587B08" w:rsidRPr="00587B08" w:rsidRDefault="00587B08" w:rsidP="00C66C60">
            <w:pPr>
              <w:pStyle w:val="FreeForm"/>
              <w:numPr>
                <w:ilvl w:val="0"/>
                <w:numId w:val="8"/>
              </w:numPr>
              <w:jc w:val="both"/>
              <w:rPr>
                <w:rFonts w:asciiTheme="minorHAnsi" w:hAnsiTheme="minorHAnsi" w:cstheme="minorHAnsi"/>
                <w:sz w:val="22"/>
                <w:szCs w:val="22"/>
                <w:lang w:val="en-US"/>
              </w:rPr>
            </w:pPr>
            <w:r>
              <w:rPr>
                <w:rFonts w:asciiTheme="minorHAnsi" w:hAnsiTheme="minorHAnsi" w:cstheme="minorHAnsi"/>
                <w:sz w:val="22"/>
                <w:szCs w:val="22"/>
                <w:lang w:val="en-US"/>
              </w:rPr>
              <w:t>Disapproved</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FBD4C6F" w14:textId="77777777" w:rsidR="004C432A" w:rsidRPr="00EC6D8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65255804" w14:textId="1FA9074B" w:rsidR="004C432A" w:rsidRPr="00EC6D8A" w:rsidRDefault="00AC3679"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4C432A" w:rsidRPr="00EC6D8A" w14:paraId="5F02CF71" w14:textId="64AE87D7" w:rsidTr="004C432A">
        <w:trPr>
          <w:trHeight w:val="608"/>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302768E" w14:textId="20871465" w:rsidR="004C432A" w:rsidRPr="00EC6D8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 xml:space="preserve">Step </w:t>
            </w:r>
            <w:r w:rsidR="00197503">
              <w:rPr>
                <w:rFonts w:asciiTheme="minorHAnsi" w:hAnsiTheme="minorHAnsi" w:cstheme="minorHAnsi"/>
                <w:sz w:val="22"/>
                <w:szCs w:val="22"/>
              </w:rPr>
              <w:t>5</w:t>
            </w:r>
            <w:r w:rsidRPr="00EC6D8A">
              <w:rPr>
                <w:rFonts w:asciiTheme="minorHAnsi" w:hAnsiTheme="minorHAnsi" w:cstheme="minorHAnsi"/>
                <w:sz w:val="22"/>
                <w:szCs w:val="22"/>
              </w:rPr>
              <w:t>: Filing of Documents in the Protocol File and Update of the database</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08AFC6E" w14:textId="77777777" w:rsidR="004C432A" w:rsidRPr="00EC6D8A" w:rsidRDefault="004C432A" w:rsidP="00CA10D9">
            <w:pPr>
              <w:pStyle w:val="FreeForm"/>
              <w:spacing w:line="276" w:lineRule="auto"/>
              <w:jc w:val="both"/>
              <w:rPr>
                <w:rFonts w:asciiTheme="minorHAnsi" w:hAnsiTheme="minorHAnsi" w:cstheme="minorHAnsi"/>
                <w:sz w:val="22"/>
                <w:szCs w:val="22"/>
              </w:rPr>
            </w:pPr>
            <w:r w:rsidRPr="00EC6D8A">
              <w:rPr>
                <w:rFonts w:asciiTheme="minorHAnsi" w:hAnsiTheme="minorHAnsi" w:cstheme="minorHAnsi"/>
                <w:sz w:val="22"/>
                <w:szCs w:val="22"/>
              </w:rPr>
              <w:t>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169E1CA6" w14:textId="31289C93" w:rsidR="004C432A" w:rsidRPr="00EC6D8A" w:rsidRDefault="00AC3679" w:rsidP="00CA10D9">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2BA94882" w14:textId="77777777" w:rsidR="000F5BBB" w:rsidRDefault="000F5BBB"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7B25E3C7" w14:textId="3F7E67B4" w:rsidR="00312F49" w:rsidRPr="00EC6D8A" w:rsidRDefault="00312F49" w:rsidP="00312F49">
      <w:pPr>
        <w:pStyle w:val="FreeForm"/>
        <w:spacing w:after="160"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rPr>
        <w:t xml:space="preserve">Step 1 - </w:t>
      </w:r>
      <w:r w:rsidRPr="00EC6D8A">
        <w:rPr>
          <w:rFonts w:asciiTheme="minorHAnsi" w:hAnsiTheme="minorHAnsi" w:cstheme="minorHAnsi"/>
          <w:sz w:val="22"/>
          <w:szCs w:val="22"/>
          <w:lang w:val="en-US"/>
        </w:rPr>
        <w:t xml:space="preserve">Receipt and Entry in the Logbook:  As in the SOP on Initial Submissions (SOP 06), The Staff receives study document, checks the nature of the document and ensures that the submission is properly logged. </w:t>
      </w:r>
    </w:p>
    <w:p w14:paraId="77A0485E" w14:textId="37BA89A1" w:rsidR="00312F49" w:rsidRPr="00EC6D8A" w:rsidRDefault="00312F49" w:rsidP="00312F49">
      <w:pPr>
        <w:pStyle w:val="FreeForm"/>
        <w:spacing w:after="160"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lang w:val="en-US"/>
        </w:rPr>
        <w:t>Coding of Resubmitted Protocol Documents</w:t>
      </w:r>
      <w:r w:rsidRPr="00EC6D8A">
        <w:rPr>
          <w:rFonts w:asciiTheme="minorHAnsi" w:hAnsiTheme="minorHAnsi" w:cstheme="minorHAnsi"/>
          <w:sz w:val="22"/>
          <w:szCs w:val="22"/>
        </w:rPr>
        <w:t xml:space="preserve">: </w:t>
      </w:r>
      <w:r w:rsidRPr="00EC6D8A">
        <w:rPr>
          <w:rFonts w:asciiTheme="minorHAnsi" w:hAnsiTheme="minorHAnsi" w:cstheme="minorHAnsi"/>
          <w:sz w:val="22"/>
          <w:szCs w:val="22"/>
          <w:lang w:val="en-US"/>
        </w:rPr>
        <w:t>The staff stamps/indicates the code assigned to the protocol when it was initially submitted and the date of receipt on all the documents.</w:t>
      </w:r>
    </w:p>
    <w:p w14:paraId="5B0540BF" w14:textId="2566EC41" w:rsidR="00312F49" w:rsidRPr="00EC6D8A" w:rsidRDefault="00312F49" w:rsidP="00312F49">
      <w:pPr>
        <w:pStyle w:val="FreeForm"/>
        <w:spacing w:after="160"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lang w:val="en-US"/>
        </w:rPr>
        <w:t xml:space="preserve">Step </w:t>
      </w:r>
      <w:r w:rsidR="00197503">
        <w:rPr>
          <w:rFonts w:asciiTheme="minorHAnsi" w:hAnsiTheme="minorHAnsi" w:cstheme="minorHAnsi"/>
          <w:sz w:val="22"/>
          <w:szCs w:val="22"/>
          <w:lang w:val="en-US"/>
        </w:rPr>
        <w:t>2</w:t>
      </w:r>
      <w:r w:rsidRPr="00EC6D8A">
        <w:rPr>
          <w:rFonts w:asciiTheme="minorHAnsi" w:hAnsiTheme="minorHAnsi" w:cstheme="minorHAnsi"/>
          <w:sz w:val="22"/>
          <w:szCs w:val="22"/>
          <w:lang w:val="en-US"/>
        </w:rPr>
        <w:t xml:space="preserve"> - Notification of the Chair and Reviewers:  The</w:t>
      </w:r>
      <w:r w:rsidRPr="00EC6D8A">
        <w:rPr>
          <w:rFonts w:asciiTheme="minorHAnsi" w:hAnsiTheme="minorHAnsi" w:cstheme="minorHAnsi"/>
          <w:sz w:val="22"/>
          <w:szCs w:val="22"/>
        </w:rPr>
        <w:t xml:space="preserve"> </w:t>
      </w:r>
      <w:r w:rsidRPr="00EC6D8A">
        <w:rPr>
          <w:rFonts w:asciiTheme="minorHAnsi" w:hAnsiTheme="minorHAnsi" w:cstheme="minorHAnsi"/>
          <w:sz w:val="22"/>
          <w:szCs w:val="22"/>
          <w:lang w:val="en-US"/>
        </w:rPr>
        <w:t>staff retrieves the Decision Letter (Form</w:t>
      </w:r>
      <w:r w:rsidR="00E73F9C">
        <w:rPr>
          <w:rFonts w:asciiTheme="minorHAnsi" w:hAnsiTheme="minorHAnsi" w:cstheme="minorHAnsi"/>
          <w:sz w:val="22"/>
          <w:szCs w:val="22"/>
          <w:lang w:val="en-US"/>
        </w:rPr>
        <w:t xml:space="preserve"> 008</w:t>
      </w:r>
      <w:r w:rsidRPr="00EC6D8A">
        <w:rPr>
          <w:rFonts w:asciiTheme="minorHAnsi" w:hAnsiTheme="minorHAnsi" w:cstheme="minorHAnsi"/>
          <w:sz w:val="22"/>
          <w:szCs w:val="22"/>
          <w:lang w:val="en-US"/>
        </w:rPr>
        <w:t xml:space="preserve">) that </w:t>
      </w:r>
      <w:r w:rsidR="00033616">
        <w:rPr>
          <w:rFonts w:asciiTheme="minorHAnsi" w:hAnsiTheme="minorHAnsi" w:cstheme="minorHAnsi"/>
          <w:sz w:val="22"/>
          <w:szCs w:val="22"/>
          <w:lang w:val="en-US"/>
        </w:rPr>
        <w:t>pertains</w:t>
      </w:r>
      <w:r w:rsidRPr="00EC6D8A">
        <w:rPr>
          <w:rFonts w:asciiTheme="minorHAnsi" w:hAnsiTheme="minorHAnsi" w:cstheme="minorHAnsi"/>
          <w:sz w:val="22"/>
          <w:szCs w:val="22"/>
          <w:lang w:val="en-US"/>
        </w:rPr>
        <w:t xml:space="preserve"> to the original protocol and informs the Chair about the resubmission and about the nature of the modifications required from the researcher. Given the necessary information, the Chair either evaluates the resubmitted protocol at his/her level or directs the staff to inform the reviewers concerned and to forward to them the necessary documents.</w:t>
      </w:r>
      <w:r w:rsidRPr="00EC6D8A">
        <w:rPr>
          <w:rFonts w:asciiTheme="minorHAnsi" w:hAnsiTheme="minorHAnsi" w:cstheme="minorHAnsi"/>
          <w:sz w:val="22"/>
          <w:szCs w:val="22"/>
        </w:rPr>
        <w:t xml:space="preserve"> </w:t>
      </w:r>
    </w:p>
    <w:p w14:paraId="7391D04D" w14:textId="39A04822" w:rsidR="00312F49" w:rsidRPr="00EC6D8A" w:rsidRDefault="00312F49" w:rsidP="00312F49">
      <w:pPr>
        <w:pStyle w:val="FreeForm"/>
        <w:spacing w:after="160"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rPr>
        <w:t xml:space="preserve">Step </w:t>
      </w:r>
      <w:r w:rsidR="00197503">
        <w:rPr>
          <w:rFonts w:asciiTheme="minorHAnsi" w:hAnsiTheme="minorHAnsi" w:cstheme="minorHAnsi"/>
          <w:sz w:val="22"/>
          <w:szCs w:val="22"/>
          <w:lang w:val="en-US"/>
        </w:rPr>
        <w:t>3</w:t>
      </w:r>
      <w:r w:rsidRPr="00EC6D8A">
        <w:rPr>
          <w:rFonts w:asciiTheme="minorHAnsi" w:hAnsiTheme="minorHAnsi" w:cstheme="minorHAnsi"/>
          <w:sz w:val="22"/>
          <w:szCs w:val="22"/>
          <w:lang w:val="en-US"/>
        </w:rPr>
        <w:t xml:space="preserve"> - Review of the Resubmission: </w:t>
      </w:r>
      <w:r w:rsidRPr="00EC6D8A">
        <w:rPr>
          <w:rFonts w:asciiTheme="minorHAnsi" w:hAnsiTheme="minorHAnsi" w:cstheme="minorHAnsi"/>
          <w:sz w:val="22"/>
          <w:szCs w:val="22"/>
        </w:rPr>
        <w:t xml:space="preserve"> </w:t>
      </w:r>
      <w:r w:rsidRPr="00EC6D8A">
        <w:rPr>
          <w:rFonts w:asciiTheme="minorHAnsi" w:hAnsiTheme="minorHAnsi" w:cstheme="minorHAnsi"/>
          <w:sz w:val="22"/>
          <w:szCs w:val="22"/>
          <w:lang w:val="en-US"/>
        </w:rPr>
        <w:t xml:space="preserve">The assigned reviewers  conduct review of the resubmitted protocol by referring to the resubmission form noting the different recommendations made by the REC and evaluating whether these were satisfactorily addressed in the resubmitted protocol. The reviewers submit the report to the Chair for inclusion in the next regular meeting. </w:t>
      </w:r>
    </w:p>
    <w:p w14:paraId="3BF10FE9" w14:textId="66D617D9" w:rsidR="00312F49" w:rsidRDefault="00312F49" w:rsidP="00312F49">
      <w:pPr>
        <w:pStyle w:val="FreeForm"/>
        <w:spacing w:after="160" w:line="276" w:lineRule="auto"/>
        <w:jc w:val="both"/>
        <w:rPr>
          <w:rFonts w:asciiTheme="minorHAnsi" w:hAnsiTheme="minorHAnsi" w:cstheme="minorHAnsi"/>
          <w:sz w:val="22"/>
          <w:szCs w:val="22"/>
          <w:lang w:val="en-US"/>
        </w:rPr>
      </w:pPr>
      <w:r w:rsidRPr="00EC6D8A">
        <w:rPr>
          <w:rFonts w:asciiTheme="minorHAnsi" w:hAnsiTheme="minorHAnsi" w:cstheme="minorHAnsi"/>
          <w:sz w:val="22"/>
          <w:szCs w:val="22"/>
          <w:lang w:val="en-US"/>
        </w:rPr>
        <w:t xml:space="preserve">Step </w:t>
      </w:r>
      <w:r w:rsidR="00197503">
        <w:rPr>
          <w:rFonts w:asciiTheme="minorHAnsi" w:hAnsiTheme="minorHAnsi" w:cstheme="minorHAnsi"/>
          <w:sz w:val="22"/>
          <w:szCs w:val="22"/>
          <w:lang w:val="en-US"/>
        </w:rPr>
        <w:t>4</w:t>
      </w:r>
      <w:r w:rsidRPr="00EC6D8A">
        <w:rPr>
          <w:rFonts w:asciiTheme="minorHAnsi" w:hAnsiTheme="minorHAnsi" w:cstheme="minorHAnsi"/>
          <w:sz w:val="22"/>
          <w:szCs w:val="22"/>
          <w:lang w:val="en-US"/>
        </w:rPr>
        <w:t xml:space="preserve"> </w:t>
      </w:r>
      <w:r w:rsidR="00033616" w:rsidRPr="00EC6D8A">
        <w:rPr>
          <w:rFonts w:asciiTheme="minorHAnsi" w:hAnsiTheme="minorHAnsi" w:cstheme="minorHAnsi"/>
          <w:sz w:val="22"/>
          <w:szCs w:val="22"/>
          <w:lang w:val="en-US"/>
        </w:rPr>
        <w:t>- Communication</w:t>
      </w:r>
      <w:r w:rsidRPr="00EC6D8A">
        <w:rPr>
          <w:rFonts w:asciiTheme="minorHAnsi" w:hAnsiTheme="minorHAnsi" w:cstheme="minorHAnsi"/>
          <w:sz w:val="22"/>
          <w:szCs w:val="22"/>
          <w:lang w:val="en-US"/>
        </w:rPr>
        <w:t xml:space="preserve"> of Decision:</w:t>
      </w:r>
      <w:r w:rsidRPr="00EC6D8A">
        <w:rPr>
          <w:rFonts w:asciiTheme="minorHAnsi" w:hAnsiTheme="minorHAnsi" w:cstheme="minorHAnsi"/>
          <w:sz w:val="22"/>
          <w:szCs w:val="22"/>
        </w:rPr>
        <w:t xml:space="preserve">  </w:t>
      </w:r>
      <w:r w:rsidRPr="00EC6D8A">
        <w:rPr>
          <w:rFonts w:asciiTheme="minorHAnsi" w:hAnsiTheme="minorHAnsi" w:cstheme="minorHAnsi"/>
          <w:sz w:val="22"/>
          <w:szCs w:val="22"/>
          <w:lang w:val="en-US"/>
        </w:rPr>
        <w:t xml:space="preserve">For Resubmissions approved at the level of the Chair: </w:t>
      </w:r>
      <w:proofErr w:type="gramStart"/>
      <w:r w:rsidRPr="00EC6D8A">
        <w:rPr>
          <w:rFonts w:asciiTheme="minorHAnsi" w:hAnsiTheme="minorHAnsi" w:cstheme="minorHAnsi"/>
          <w:sz w:val="22"/>
          <w:szCs w:val="22"/>
          <w:lang w:val="en-US"/>
        </w:rPr>
        <w:t>the</w:t>
      </w:r>
      <w:proofErr w:type="gramEnd"/>
      <w:r w:rsidRPr="00EC6D8A">
        <w:rPr>
          <w:rFonts w:asciiTheme="minorHAnsi" w:hAnsiTheme="minorHAnsi" w:cstheme="minorHAnsi"/>
          <w:sz w:val="22"/>
          <w:szCs w:val="22"/>
          <w:lang w:val="en-US"/>
        </w:rPr>
        <w:t xml:space="preserve"> Chair dictates his/her decision to staff for preparation of the draft letter, finalization and sending to the researcher. For the resubmissions that underwent Full Review, refer to SOP # </w:t>
      </w:r>
      <w:r w:rsidR="00E73F9C">
        <w:rPr>
          <w:rFonts w:asciiTheme="minorHAnsi" w:hAnsiTheme="minorHAnsi" w:cstheme="minorHAnsi"/>
          <w:sz w:val="22"/>
          <w:szCs w:val="22"/>
          <w:lang w:val="en-US"/>
        </w:rPr>
        <w:t>21</w:t>
      </w:r>
      <w:r w:rsidRPr="00EC6D8A">
        <w:rPr>
          <w:rFonts w:asciiTheme="minorHAnsi" w:hAnsiTheme="minorHAnsi" w:cstheme="minorHAnsi"/>
          <w:sz w:val="22"/>
          <w:szCs w:val="22"/>
          <w:lang w:val="en-US"/>
        </w:rPr>
        <w:t xml:space="preserve"> Communicating Committee Decisions. </w:t>
      </w:r>
    </w:p>
    <w:p w14:paraId="5491559B" w14:textId="65C9D98C" w:rsidR="00197503" w:rsidRPr="00587B08" w:rsidRDefault="004A4BBC" w:rsidP="00312F49">
      <w:pPr>
        <w:pStyle w:val="FreeForm"/>
        <w:spacing w:after="160" w:line="276" w:lineRule="auto"/>
        <w:jc w:val="both"/>
        <w:rPr>
          <w:rFonts w:asciiTheme="minorHAnsi" w:hAnsiTheme="minorHAnsi" w:cstheme="minorHAnsi"/>
          <w:sz w:val="22"/>
          <w:szCs w:val="22"/>
          <w:highlight w:val="yellow"/>
          <w:lang w:val="en-US"/>
        </w:rPr>
      </w:pPr>
      <w:r w:rsidRPr="00587B08">
        <w:rPr>
          <w:rFonts w:asciiTheme="minorHAnsi" w:hAnsiTheme="minorHAnsi" w:cstheme="minorHAnsi"/>
          <w:sz w:val="22"/>
          <w:szCs w:val="22"/>
          <w:highlight w:val="yellow"/>
          <w:lang w:val="en-US"/>
        </w:rPr>
        <w:t>Decision</w:t>
      </w:r>
      <w:r w:rsidR="00197503" w:rsidRPr="00587B08">
        <w:rPr>
          <w:rFonts w:asciiTheme="minorHAnsi" w:hAnsiTheme="minorHAnsi" w:cstheme="minorHAnsi"/>
          <w:sz w:val="22"/>
          <w:szCs w:val="22"/>
          <w:highlight w:val="yellow"/>
          <w:lang w:val="en-US"/>
        </w:rPr>
        <w:t xml:space="preserve"> Points:</w:t>
      </w:r>
    </w:p>
    <w:p w14:paraId="258B4DFB" w14:textId="2FBB985D" w:rsidR="00197503" w:rsidRPr="00587B08" w:rsidRDefault="00197503" w:rsidP="004A4BBC">
      <w:pPr>
        <w:pStyle w:val="FreeForm"/>
        <w:numPr>
          <w:ilvl w:val="0"/>
          <w:numId w:val="7"/>
        </w:numPr>
        <w:spacing w:after="160" w:line="276" w:lineRule="auto"/>
        <w:jc w:val="both"/>
        <w:rPr>
          <w:rFonts w:asciiTheme="minorHAnsi" w:hAnsiTheme="minorHAnsi" w:cstheme="minorHAnsi"/>
          <w:sz w:val="22"/>
          <w:szCs w:val="22"/>
          <w:highlight w:val="yellow"/>
          <w:lang w:val="en-US"/>
        </w:rPr>
      </w:pPr>
      <w:r w:rsidRPr="00587B08">
        <w:rPr>
          <w:rFonts w:asciiTheme="minorHAnsi" w:hAnsiTheme="minorHAnsi" w:cstheme="minorHAnsi"/>
          <w:sz w:val="22"/>
          <w:szCs w:val="22"/>
          <w:highlight w:val="yellow"/>
          <w:lang w:val="en-US"/>
        </w:rPr>
        <w:t>Approved as submitted.</w:t>
      </w:r>
    </w:p>
    <w:p w14:paraId="5F613B93" w14:textId="176D5FF6" w:rsidR="00197503" w:rsidRPr="00587B08" w:rsidRDefault="00197503" w:rsidP="004A4BBC">
      <w:pPr>
        <w:pStyle w:val="FreeForm"/>
        <w:numPr>
          <w:ilvl w:val="0"/>
          <w:numId w:val="7"/>
        </w:numPr>
        <w:spacing w:after="160" w:line="276" w:lineRule="auto"/>
        <w:jc w:val="both"/>
        <w:rPr>
          <w:rFonts w:asciiTheme="minorHAnsi" w:hAnsiTheme="minorHAnsi" w:cstheme="minorHAnsi"/>
          <w:sz w:val="22"/>
          <w:szCs w:val="22"/>
          <w:highlight w:val="yellow"/>
          <w:lang w:val="en-US"/>
        </w:rPr>
      </w:pPr>
      <w:r w:rsidRPr="00587B08">
        <w:rPr>
          <w:rFonts w:asciiTheme="minorHAnsi" w:hAnsiTheme="minorHAnsi" w:cstheme="minorHAnsi"/>
          <w:sz w:val="22"/>
          <w:szCs w:val="22"/>
          <w:highlight w:val="yellow"/>
          <w:lang w:val="en-US"/>
        </w:rPr>
        <w:t>Approved conditionally; requires amendments</w:t>
      </w:r>
      <w:r w:rsidR="004A4BBC" w:rsidRPr="00587B08">
        <w:rPr>
          <w:rFonts w:asciiTheme="minorHAnsi" w:hAnsiTheme="minorHAnsi" w:cstheme="minorHAnsi"/>
          <w:sz w:val="22"/>
          <w:szCs w:val="22"/>
          <w:highlight w:val="yellow"/>
          <w:lang w:val="en-US"/>
        </w:rPr>
        <w:t xml:space="preserve">, revisions </w:t>
      </w:r>
      <w:r w:rsidRPr="00587B08">
        <w:rPr>
          <w:rFonts w:asciiTheme="minorHAnsi" w:hAnsiTheme="minorHAnsi" w:cstheme="minorHAnsi"/>
          <w:sz w:val="22"/>
          <w:szCs w:val="22"/>
          <w:highlight w:val="yellow"/>
          <w:lang w:val="en-US"/>
        </w:rPr>
        <w:t>and or clarifications.</w:t>
      </w:r>
    </w:p>
    <w:p w14:paraId="35D1C650" w14:textId="656B1E58" w:rsidR="004A4BBC" w:rsidRPr="00587B08" w:rsidRDefault="004A4BBC" w:rsidP="004A4BBC">
      <w:pPr>
        <w:pStyle w:val="FreeForm"/>
        <w:numPr>
          <w:ilvl w:val="0"/>
          <w:numId w:val="6"/>
        </w:numPr>
        <w:spacing w:after="160" w:line="276" w:lineRule="auto"/>
        <w:jc w:val="both"/>
        <w:rPr>
          <w:rFonts w:asciiTheme="minorHAnsi" w:hAnsiTheme="minorHAnsi" w:cstheme="minorHAnsi"/>
          <w:sz w:val="22"/>
          <w:szCs w:val="22"/>
          <w:highlight w:val="yellow"/>
          <w:lang w:val="en-US"/>
        </w:rPr>
      </w:pPr>
      <w:r w:rsidRPr="00587B08">
        <w:rPr>
          <w:rFonts w:asciiTheme="minorHAnsi" w:hAnsiTheme="minorHAnsi" w:cstheme="minorHAnsi"/>
          <w:sz w:val="22"/>
          <w:szCs w:val="22"/>
          <w:highlight w:val="yellow"/>
          <w:lang w:val="en-US"/>
        </w:rPr>
        <w:t xml:space="preserve">Major Revision/s </w:t>
      </w:r>
      <w:proofErr w:type="gramStart"/>
      <w:r w:rsidRPr="00587B08">
        <w:rPr>
          <w:rFonts w:asciiTheme="minorHAnsi" w:hAnsiTheme="minorHAnsi" w:cstheme="minorHAnsi"/>
          <w:sz w:val="22"/>
          <w:szCs w:val="22"/>
          <w:highlight w:val="yellow"/>
          <w:lang w:val="en-US"/>
        </w:rPr>
        <w:t>required</w:t>
      </w:r>
      <w:proofErr w:type="gramEnd"/>
    </w:p>
    <w:p w14:paraId="29C37B65" w14:textId="569E967B" w:rsidR="004A4BBC" w:rsidRPr="00587B08" w:rsidRDefault="004A4BBC" w:rsidP="004A4BBC">
      <w:pPr>
        <w:pStyle w:val="FreeForm"/>
        <w:numPr>
          <w:ilvl w:val="0"/>
          <w:numId w:val="6"/>
        </w:numPr>
        <w:spacing w:after="160" w:line="276" w:lineRule="auto"/>
        <w:jc w:val="both"/>
        <w:rPr>
          <w:rFonts w:asciiTheme="minorHAnsi" w:hAnsiTheme="minorHAnsi" w:cstheme="minorHAnsi"/>
          <w:sz w:val="22"/>
          <w:szCs w:val="22"/>
          <w:highlight w:val="yellow"/>
          <w:lang w:val="en-US"/>
        </w:rPr>
      </w:pPr>
      <w:r w:rsidRPr="00587B08">
        <w:rPr>
          <w:rFonts w:asciiTheme="minorHAnsi" w:hAnsiTheme="minorHAnsi" w:cstheme="minorHAnsi"/>
          <w:sz w:val="22"/>
          <w:szCs w:val="22"/>
          <w:highlight w:val="yellow"/>
          <w:lang w:val="en-US"/>
        </w:rPr>
        <w:t xml:space="preserve">Minor Revision/s </w:t>
      </w:r>
      <w:proofErr w:type="gramStart"/>
      <w:r w:rsidRPr="00587B08">
        <w:rPr>
          <w:rFonts w:asciiTheme="minorHAnsi" w:hAnsiTheme="minorHAnsi" w:cstheme="minorHAnsi"/>
          <w:sz w:val="22"/>
          <w:szCs w:val="22"/>
          <w:highlight w:val="yellow"/>
          <w:lang w:val="en-US"/>
        </w:rPr>
        <w:t>required</w:t>
      </w:r>
      <w:proofErr w:type="gramEnd"/>
    </w:p>
    <w:p w14:paraId="1D194137" w14:textId="1787C61C" w:rsidR="004A4BBC" w:rsidRPr="00587B08" w:rsidRDefault="004A4BBC" w:rsidP="004A4BBC">
      <w:pPr>
        <w:pStyle w:val="FreeForm"/>
        <w:numPr>
          <w:ilvl w:val="0"/>
          <w:numId w:val="8"/>
        </w:numPr>
        <w:spacing w:after="160" w:line="276" w:lineRule="auto"/>
        <w:jc w:val="both"/>
        <w:rPr>
          <w:rFonts w:asciiTheme="minorHAnsi" w:hAnsiTheme="minorHAnsi" w:cstheme="minorHAnsi"/>
          <w:sz w:val="22"/>
          <w:szCs w:val="22"/>
          <w:highlight w:val="yellow"/>
          <w:lang w:val="en-US"/>
        </w:rPr>
      </w:pPr>
      <w:r w:rsidRPr="00587B08">
        <w:rPr>
          <w:rFonts w:asciiTheme="minorHAnsi" w:hAnsiTheme="minorHAnsi" w:cstheme="minorHAnsi"/>
          <w:sz w:val="22"/>
          <w:szCs w:val="22"/>
          <w:highlight w:val="yellow"/>
          <w:lang w:val="en-US"/>
        </w:rPr>
        <w:t>Disapproved</w:t>
      </w:r>
    </w:p>
    <w:p w14:paraId="1C565257" w14:textId="77777777" w:rsidR="004A4BBC" w:rsidRPr="004A4BBC" w:rsidRDefault="004A4BBC" w:rsidP="004A4BBC">
      <w:pPr>
        <w:pStyle w:val="FreeForm"/>
        <w:spacing w:after="160" w:line="276" w:lineRule="auto"/>
        <w:jc w:val="both"/>
        <w:rPr>
          <w:rFonts w:asciiTheme="minorHAnsi" w:hAnsiTheme="minorHAnsi" w:cstheme="minorHAnsi"/>
          <w:sz w:val="22"/>
          <w:szCs w:val="22"/>
          <w:lang w:val="en-US"/>
        </w:rPr>
      </w:pPr>
    </w:p>
    <w:p w14:paraId="29FC33E3" w14:textId="324BCC3C" w:rsidR="00312F49" w:rsidRPr="00EC6D8A" w:rsidRDefault="00312F49" w:rsidP="00312F49">
      <w:pPr>
        <w:pStyle w:val="FreeForm"/>
        <w:spacing w:after="160" w:line="276" w:lineRule="auto"/>
        <w:jc w:val="both"/>
        <w:rPr>
          <w:rFonts w:asciiTheme="minorHAnsi" w:eastAsia="Times" w:hAnsiTheme="minorHAnsi" w:cstheme="minorHAnsi"/>
          <w:sz w:val="22"/>
          <w:szCs w:val="22"/>
        </w:rPr>
      </w:pPr>
      <w:r w:rsidRPr="00EC6D8A">
        <w:rPr>
          <w:rFonts w:asciiTheme="minorHAnsi" w:hAnsiTheme="minorHAnsi" w:cstheme="minorHAnsi"/>
          <w:sz w:val="22"/>
          <w:szCs w:val="22"/>
          <w:lang w:val="en-US"/>
        </w:rPr>
        <w:t xml:space="preserve">Step </w:t>
      </w:r>
      <w:r w:rsidR="00197503">
        <w:rPr>
          <w:rFonts w:asciiTheme="minorHAnsi" w:hAnsiTheme="minorHAnsi" w:cstheme="minorHAnsi"/>
          <w:sz w:val="22"/>
          <w:szCs w:val="22"/>
          <w:lang w:val="en-US"/>
        </w:rPr>
        <w:t>5</w:t>
      </w:r>
      <w:r w:rsidRPr="00EC6D8A">
        <w:rPr>
          <w:rFonts w:asciiTheme="minorHAnsi" w:hAnsiTheme="minorHAnsi" w:cstheme="minorHAnsi"/>
          <w:sz w:val="22"/>
          <w:szCs w:val="22"/>
          <w:lang w:val="en-US"/>
        </w:rPr>
        <w:t xml:space="preserve"> - Filing of Documents in the Protocol Folder and update of the database</w:t>
      </w:r>
      <w:r w:rsidRPr="00EC6D8A">
        <w:rPr>
          <w:rFonts w:asciiTheme="minorHAnsi" w:hAnsiTheme="minorHAnsi" w:cstheme="minorHAnsi"/>
          <w:sz w:val="22"/>
          <w:szCs w:val="22"/>
        </w:rPr>
        <w:t xml:space="preserve">:  </w:t>
      </w:r>
      <w:r w:rsidRPr="00EC6D8A">
        <w:rPr>
          <w:rFonts w:asciiTheme="minorHAnsi" w:hAnsiTheme="minorHAnsi" w:cstheme="minorHAnsi"/>
          <w:sz w:val="22"/>
          <w:szCs w:val="22"/>
          <w:lang w:val="en-US"/>
        </w:rPr>
        <w:t xml:space="preserve">The staff gathers all the pertinent documents related to the resubmission (revised protocol, assessment forms, excerpts of minutes, </w:t>
      </w:r>
      <w:r w:rsidR="00A700F4">
        <w:rPr>
          <w:rFonts w:asciiTheme="minorHAnsi" w:hAnsiTheme="minorHAnsi" w:cstheme="minorHAnsi"/>
          <w:sz w:val="22"/>
          <w:szCs w:val="22"/>
          <w:lang w:val="en-US"/>
        </w:rPr>
        <w:t xml:space="preserve">ethical clearance / </w:t>
      </w:r>
      <w:r w:rsidRPr="00EC6D8A">
        <w:rPr>
          <w:rFonts w:asciiTheme="minorHAnsi" w:hAnsiTheme="minorHAnsi" w:cstheme="minorHAnsi"/>
          <w:sz w:val="22"/>
          <w:szCs w:val="22"/>
          <w:lang w:val="en-US"/>
        </w:rPr>
        <w:t xml:space="preserve">approval letter,) and enters the relevant information on resubmission in the appropriate protocol database. </w:t>
      </w:r>
    </w:p>
    <w:p w14:paraId="5E298EF7" w14:textId="77777777" w:rsidR="00951D64" w:rsidRPr="00951D64" w:rsidRDefault="00951D64" w:rsidP="00951D64">
      <w:pPr>
        <w:pStyle w:val="NoSpacing"/>
        <w:jc w:val="center"/>
        <w:rPr>
          <w:rFonts w:cstheme="minorHAnsi"/>
        </w:rPr>
      </w:pPr>
    </w:p>
    <w:p w14:paraId="5D4728C0" w14:textId="77777777" w:rsidR="000F5BBB" w:rsidRDefault="000F5BBB"/>
    <w:p w14:paraId="0EE3789C" w14:textId="03E28692" w:rsidR="00A30117" w:rsidRDefault="00C52B74" w:rsidP="00A30117">
      <w:pPr>
        <w:rPr>
          <w:b/>
          <w:bCs/>
        </w:rPr>
      </w:pPr>
      <w:r w:rsidRPr="00C52B74">
        <w:rPr>
          <w:b/>
          <w:bCs/>
        </w:rPr>
        <w:t>Forms:</w:t>
      </w:r>
    </w:p>
    <w:p w14:paraId="55E5BF2E" w14:textId="2DE83ACF" w:rsidR="00312F49" w:rsidRPr="00EC6D8A" w:rsidRDefault="00853204" w:rsidP="00312F49">
      <w:pPr>
        <w:pStyle w:val="FreeForm"/>
        <w:spacing w:after="160" w:line="276" w:lineRule="auto"/>
        <w:ind w:left="709"/>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SOP 21 </w:t>
      </w:r>
      <w:r w:rsidR="00312F49" w:rsidRPr="00EC6D8A">
        <w:rPr>
          <w:rFonts w:asciiTheme="minorHAnsi" w:hAnsiTheme="minorHAnsi" w:cstheme="minorHAnsi"/>
          <w:sz w:val="22"/>
          <w:szCs w:val="22"/>
          <w:lang w:val="en-US"/>
        </w:rPr>
        <w:t xml:space="preserve">Form </w:t>
      </w:r>
      <w:r w:rsidR="00A700F4">
        <w:rPr>
          <w:rFonts w:asciiTheme="minorHAnsi" w:hAnsiTheme="minorHAnsi" w:cstheme="minorHAnsi"/>
          <w:sz w:val="22"/>
          <w:szCs w:val="22"/>
          <w:lang w:val="en-US"/>
        </w:rPr>
        <w:t>008</w:t>
      </w:r>
      <w:r w:rsidR="00312F49" w:rsidRPr="00EC6D8A">
        <w:rPr>
          <w:rFonts w:asciiTheme="minorHAnsi" w:hAnsiTheme="minorHAnsi" w:cstheme="minorHAnsi"/>
          <w:sz w:val="22"/>
          <w:szCs w:val="22"/>
          <w:lang w:val="en-US"/>
        </w:rPr>
        <w:t xml:space="preserve"> Decision Letter </w:t>
      </w:r>
    </w:p>
    <w:p w14:paraId="69E4303C" w14:textId="6B24A800" w:rsidR="00312F49" w:rsidRPr="00EC6D8A" w:rsidRDefault="00FD05E8" w:rsidP="00312F49">
      <w:pPr>
        <w:pStyle w:val="FreeForm"/>
        <w:spacing w:after="160" w:line="276" w:lineRule="auto"/>
        <w:ind w:left="709"/>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SOP 7 </w:t>
      </w:r>
      <w:r w:rsidR="00312F49" w:rsidRPr="00EC6D8A">
        <w:rPr>
          <w:rFonts w:asciiTheme="minorHAnsi" w:hAnsiTheme="minorHAnsi" w:cstheme="minorHAnsi"/>
          <w:sz w:val="22"/>
          <w:szCs w:val="22"/>
          <w:lang w:val="en-US"/>
        </w:rPr>
        <w:t xml:space="preserve">Form </w:t>
      </w:r>
      <w:r w:rsidR="00A700F4">
        <w:rPr>
          <w:rFonts w:asciiTheme="minorHAnsi" w:hAnsiTheme="minorHAnsi" w:cstheme="minorHAnsi"/>
          <w:sz w:val="22"/>
          <w:szCs w:val="22"/>
          <w:lang w:val="en-US"/>
        </w:rPr>
        <w:t>014</w:t>
      </w:r>
      <w:r w:rsidR="00312F49" w:rsidRPr="00EC6D8A">
        <w:rPr>
          <w:rFonts w:asciiTheme="minorHAnsi" w:hAnsiTheme="minorHAnsi" w:cstheme="minorHAnsi"/>
          <w:sz w:val="22"/>
          <w:szCs w:val="22"/>
          <w:lang w:val="en-US"/>
        </w:rPr>
        <w:t xml:space="preserve"> Resubmission Form</w:t>
      </w:r>
    </w:p>
    <w:p w14:paraId="10E1C2AD" w14:textId="472085BD" w:rsidR="00312F49" w:rsidRPr="00EC6D8A" w:rsidRDefault="00853204" w:rsidP="00312F49">
      <w:pPr>
        <w:ind w:firstLine="709"/>
        <w:rPr>
          <w:rFonts w:eastAsia="MS Mincho" w:cstheme="minorHAnsi"/>
          <w:b/>
        </w:rPr>
      </w:pPr>
      <w:r>
        <w:rPr>
          <w:rFonts w:cstheme="minorHAnsi"/>
          <w:lang w:val="en-US"/>
        </w:rPr>
        <w:t xml:space="preserve">SOP 21 </w:t>
      </w:r>
      <w:r w:rsidR="00312F49" w:rsidRPr="00EC6D8A">
        <w:rPr>
          <w:rFonts w:cstheme="minorHAnsi"/>
          <w:lang w:val="en-US"/>
        </w:rPr>
        <w:t xml:space="preserve">Form </w:t>
      </w:r>
      <w:r w:rsidR="00A700F4">
        <w:rPr>
          <w:rFonts w:cstheme="minorHAnsi"/>
          <w:lang w:val="en-US"/>
        </w:rPr>
        <w:t>009 Ethical Clearance</w:t>
      </w:r>
    </w:p>
    <w:p w14:paraId="615F3CAC" w14:textId="77777777" w:rsidR="00312F49" w:rsidRDefault="00312F49" w:rsidP="00312F49">
      <w:pPr>
        <w:ind w:left="2160" w:firstLine="720"/>
        <w:rPr>
          <w:rFonts w:ascii="Calibri" w:eastAsia="MS Mincho" w:hAnsi="Calibri" w:cs="Calibr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666717" w14:paraId="2D8F1BD0" w14:textId="77777777" w:rsidTr="00CA10D9">
        <w:tc>
          <w:tcPr>
            <w:tcW w:w="1555" w:type="dxa"/>
          </w:tcPr>
          <w:p w14:paraId="2AE34F44" w14:textId="13AA8A86" w:rsidR="00666717" w:rsidRDefault="00666717" w:rsidP="00666717">
            <w:pPr>
              <w:rPr>
                <w:rFonts w:cstheme="minorHAnsi"/>
                <w:b/>
              </w:rPr>
            </w:pPr>
            <w:r>
              <w:rPr>
                <w:rFonts w:cstheme="minorHAnsi"/>
                <w:b/>
              </w:rPr>
              <w:t>01</w:t>
            </w:r>
          </w:p>
        </w:tc>
        <w:tc>
          <w:tcPr>
            <w:tcW w:w="1984" w:type="dxa"/>
          </w:tcPr>
          <w:p w14:paraId="6D64B36D" w14:textId="1AEFA9B9" w:rsidR="00666717" w:rsidRDefault="00666717" w:rsidP="00666717">
            <w:pPr>
              <w:rPr>
                <w:rFonts w:cstheme="minorHAnsi"/>
                <w:b/>
              </w:rPr>
            </w:pPr>
            <w:r w:rsidRPr="00F36643">
              <w:rPr>
                <w:rFonts w:cstheme="minorHAnsi"/>
                <w:bCs/>
              </w:rPr>
              <w:t>0</w:t>
            </w:r>
            <w:r>
              <w:rPr>
                <w:rFonts w:cstheme="minorHAnsi"/>
                <w:bCs/>
              </w:rPr>
              <w:t>2/28/2017</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666717" w14:paraId="0DFA7B33" w14:textId="77777777" w:rsidTr="00CA10D9">
        <w:tc>
          <w:tcPr>
            <w:tcW w:w="1555" w:type="dxa"/>
          </w:tcPr>
          <w:p w14:paraId="67D04721" w14:textId="24FA41D1" w:rsidR="00666717" w:rsidRPr="00F36643" w:rsidRDefault="00666717" w:rsidP="00666717">
            <w:pPr>
              <w:rPr>
                <w:rFonts w:cstheme="minorHAnsi"/>
                <w:bCs/>
              </w:rPr>
            </w:pPr>
            <w:r w:rsidRPr="00F36643">
              <w:rPr>
                <w:rFonts w:cstheme="minorHAnsi"/>
                <w:bCs/>
              </w:rPr>
              <w:t>0</w:t>
            </w:r>
            <w:r>
              <w:rPr>
                <w:rFonts w:cstheme="minorHAnsi"/>
                <w:bCs/>
              </w:rPr>
              <w:t>2</w:t>
            </w:r>
          </w:p>
        </w:tc>
        <w:tc>
          <w:tcPr>
            <w:tcW w:w="1984" w:type="dxa"/>
          </w:tcPr>
          <w:p w14:paraId="3C45B373" w14:textId="61ADAE6E" w:rsidR="00666717" w:rsidRPr="00F36643" w:rsidRDefault="00666717" w:rsidP="00666717">
            <w:pPr>
              <w:rPr>
                <w:rFonts w:cstheme="minorHAnsi"/>
                <w:bCs/>
              </w:rPr>
            </w:pPr>
            <w:r w:rsidRPr="00F36643">
              <w:rPr>
                <w:rFonts w:cstheme="minorHAnsi"/>
                <w:bCs/>
              </w:rPr>
              <w:t>06/21/2019</w:t>
            </w:r>
          </w:p>
        </w:tc>
        <w:tc>
          <w:tcPr>
            <w:tcW w:w="2410" w:type="dxa"/>
          </w:tcPr>
          <w:p w14:paraId="59022349" w14:textId="1B731828" w:rsidR="00666717" w:rsidRPr="00F36643" w:rsidRDefault="00666717" w:rsidP="00666717">
            <w:pPr>
              <w:rPr>
                <w:rFonts w:cstheme="minorHAnsi"/>
                <w:bCs/>
              </w:rPr>
            </w:pPr>
            <w:proofErr w:type="spellStart"/>
            <w:r>
              <w:rPr>
                <w:rFonts w:cstheme="minorHAnsi"/>
                <w:bCs/>
              </w:rPr>
              <w:t>krva</w:t>
            </w:r>
            <w:proofErr w:type="spellEnd"/>
          </w:p>
        </w:tc>
        <w:tc>
          <w:tcPr>
            <w:tcW w:w="3401" w:type="dxa"/>
          </w:tcPr>
          <w:p w14:paraId="42107F8F" w14:textId="36F31905" w:rsidR="00666717" w:rsidRPr="00F36643" w:rsidRDefault="00666717" w:rsidP="00666717">
            <w:pPr>
              <w:rPr>
                <w:rFonts w:cstheme="minorHAnsi"/>
                <w:bCs/>
              </w:rPr>
            </w:pPr>
            <w:r>
              <w:rPr>
                <w:rFonts w:cstheme="minorHAnsi"/>
                <w:bCs/>
              </w:rPr>
              <w:t>Exempt from review criteria</w:t>
            </w:r>
          </w:p>
        </w:tc>
      </w:tr>
      <w:tr w:rsidR="00666717" w:rsidRPr="00F36643" w14:paraId="37010F61" w14:textId="77777777" w:rsidTr="00CA10D9">
        <w:tc>
          <w:tcPr>
            <w:tcW w:w="1555" w:type="dxa"/>
          </w:tcPr>
          <w:p w14:paraId="56690C94" w14:textId="269B91EA" w:rsidR="00666717" w:rsidRPr="00F36643" w:rsidRDefault="00666717" w:rsidP="00666717">
            <w:pPr>
              <w:rPr>
                <w:rFonts w:cstheme="minorHAnsi"/>
                <w:bCs/>
              </w:rPr>
            </w:pPr>
            <w:r w:rsidRPr="00F36643">
              <w:rPr>
                <w:rFonts w:cstheme="minorHAnsi"/>
                <w:bCs/>
              </w:rPr>
              <w:t>0</w:t>
            </w:r>
            <w:r>
              <w:rPr>
                <w:rFonts w:cstheme="minorHAnsi"/>
                <w:bCs/>
              </w:rPr>
              <w:t>3</w:t>
            </w:r>
          </w:p>
        </w:tc>
        <w:tc>
          <w:tcPr>
            <w:tcW w:w="1984" w:type="dxa"/>
          </w:tcPr>
          <w:p w14:paraId="17146D20" w14:textId="7D21F4CE" w:rsidR="00666717" w:rsidRPr="00F36643" w:rsidRDefault="00666717" w:rsidP="00666717">
            <w:pPr>
              <w:rPr>
                <w:rFonts w:cstheme="minorHAnsi"/>
                <w:bCs/>
              </w:rPr>
            </w:pPr>
            <w:r w:rsidRPr="00F36643">
              <w:rPr>
                <w:rFonts w:cstheme="minorHAnsi"/>
                <w:bCs/>
              </w:rPr>
              <w:t>0</w:t>
            </w:r>
            <w:r>
              <w:rPr>
                <w:rFonts w:cstheme="minorHAnsi"/>
                <w:bCs/>
              </w:rPr>
              <w:t>9/21/2022</w:t>
            </w:r>
          </w:p>
        </w:tc>
        <w:tc>
          <w:tcPr>
            <w:tcW w:w="2410" w:type="dxa"/>
          </w:tcPr>
          <w:p w14:paraId="05AB128F" w14:textId="7A71B132" w:rsidR="00666717" w:rsidRPr="00F36643" w:rsidRDefault="00666717" w:rsidP="00666717">
            <w:pPr>
              <w:rPr>
                <w:rFonts w:cstheme="minorHAnsi"/>
                <w:bCs/>
              </w:rPr>
            </w:pPr>
            <w:proofErr w:type="spellStart"/>
            <w:r>
              <w:rPr>
                <w:rFonts w:cstheme="minorHAnsi"/>
                <w:bCs/>
              </w:rPr>
              <w:t>krva</w:t>
            </w:r>
            <w:proofErr w:type="spellEnd"/>
          </w:p>
        </w:tc>
        <w:tc>
          <w:tcPr>
            <w:tcW w:w="3401" w:type="dxa"/>
          </w:tcPr>
          <w:p w14:paraId="0EF3B8B1" w14:textId="41B43268" w:rsidR="00666717" w:rsidRPr="00F36643" w:rsidRDefault="00666717"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7181" w14:textId="77777777" w:rsidR="005761B7" w:rsidRDefault="005761B7" w:rsidP="000F5BBB">
      <w:pPr>
        <w:spacing w:after="0" w:line="240" w:lineRule="auto"/>
      </w:pPr>
      <w:r>
        <w:separator/>
      </w:r>
    </w:p>
  </w:endnote>
  <w:endnote w:type="continuationSeparator" w:id="0">
    <w:p w14:paraId="0EB06EE3" w14:textId="77777777" w:rsidR="005761B7" w:rsidRDefault="005761B7"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0E4C" w14:textId="77777777" w:rsidR="005761B7" w:rsidRDefault="005761B7" w:rsidP="000F5BBB">
      <w:pPr>
        <w:spacing w:after="0" w:line="240" w:lineRule="auto"/>
      </w:pPr>
      <w:r>
        <w:separator/>
      </w:r>
    </w:p>
  </w:footnote>
  <w:footnote w:type="continuationSeparator" w:id="0">
    <w:p w14:paraId="33052B54" w14:textId="77777777" w:rsidR="005761B7" w:rsidRDefault="005761B7"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42D35B59"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3DE98BE1"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0</w:t>
          </w:r>
          <w:r w:rsidR="00312F49">
            <w:rPr>
              <w:rFonts w:ascii="Palatino Linotype" w:hAnsi="Palatino Linotype"/>
              <w:b/>
              <w:sz w:val="28"/>
              <w:szCs w:val="32"/>
            </w:rPr>
            <w:t>7</w:t>
          </w:r>
        </w:p>
        <w:p w14:paraId="3C3BB7F2" w14:textId="380C0DEC" w:rsidR="00834FC3" w:rsidRPr="00F93EE5" w:rsidRDefault="00312F49" w:rsidP="00DE543B">
          <w:pPr>
            <w:pStyle w:val="FreeForm"/>
            <w:spacing w:line="276" w:lineRule="auto"/>
            <w:jc w:val="center"/>
            <w:rPr>
              <w:rFonts w:ascii="Trebuchet MS" w:hAnsi="Trebuchet MS"/>
              <w:color w:val="auto"/>
              <w:sz w:val="22"/>
              <w:szCs w:val="22"/>
            </w:rPr>
          </w:pPr>
          <w:r w:rsidRPr="00901386">
            <w:rPr>
              <w:rFonts w:ascii="Palatino Linotype" w:hAnsi="Palatino Linotype"/>
              <w:b/>
              <w:sz w:val="28"/>
              <w:szCs w:val="32"/>
            </w:rPr>
            <w:t xml:space="preserve">Management of </w:t>
          </w:r>
          <w:r>
            <w:rPr>
              <w:rFonts w:ascii="Palatino Linotype" w:hAnsi="Palatino Linotype"/>
              <w:b/>
              <w:sz w:val="28"/>
              <w:szCs w:val="32"/>
            </w:rPr>
            <w:t>Res</w:t>
          </w:r>
          <w:r w:rsidRPr="00901386">
            <w:rPr>
              <w:rFonts w:ascii="Palatino Linotype" w:hAnsi="Palatino Linotype"/>
              <w:b/>
              <w:sz w:val="28"/>
              <w:szCs w:val="32"/>
            </w:rPr>
            <w:t>ubmissions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6A873F72"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33682D">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055AE9EF"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09/21</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77777777" w:rsidR="00834FC3" w:rsidRDefault="0083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4FFD"/>
    <w:multiLevelType w:val="hybridMultilevel"/>
    <w:tmpl w:val="E912D4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25551"/>
    <w:multiLevelType w:val="hybridMultilevel"/>
    <w:tmpl w:val="008E85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4081743"/>
    <w:multiLevelType w:val="hybridMultilevel"/>
    <w:tmpl w:val="72C45DBE"/>
    <w:lvl w:ilvl="0" w:tplc="D078003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496464582">
    <w:abstractNumId w:val="5"/>
  </w:num>
  <w:num w:numId="2" w16cid:durableId="1945841075">
    <w:abstractNumId w:val="1"/>
  </w:num>
  <w:num w:numId="3" w16cid:durableId="1916888920">
    <w:abstractNumId w:val="4"/>
  </w:num>
  <w:num w:numId="4" w16cid:durableId="792209108">
    <w:abstractNumId w:val="6"/>
  </w:num>
  <w:num w:numId="5" w16cid:durableId="1750498920">
    <w:abstractNumId w:val="3"/>
  </w:num>
  <w:num w:numId="6" w16cid:durableId="1523401244">
    <w:abstractNumId w:val="7"/>
  </w:num>
  <w:num w:numId="7" w16cid:durableId="224684924">
    <w:abstractNumId w:val="2"/>
  </w:num>
  <w:num w:numId="8" w16cid:durableId="132843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33616"/>
    <w:rsid w:val="00085131"/>
    <w:rsid w:val="000E5808"/>
    <w:rsid w:val="000E59F4"/>
    <w:rsid w:val="000F5BBB"/>
    <w:rsid w:val="000F5EBF"/>
    <w:rsid w:val="0010674E"/>
    <w:rsid w:val="00116664"/>
    <w:rsid w:val="00192295"/>
    <w:rsid w:val="00197503"/>
    <w:rsid w:val="00312F49"/>
    <w:rsid w:val="00313032"/>
    <w:rsid w:val="003319AA"/>
    <w:rsid w:val="0033682D"/>
    <w:rsid w:val="003F00C4"/>
    <w:rsid w:val="004035E7"/>
    <w:rsid w:val="004A0584"/>
    <w:rsid w:val="004A17E5"/>
    <w:rsid w:val="004A4BBC"/>
    <w:rsid w:val="004C432A"/>
    <w:rsid w:val="004E1064"/>
    <w:rsid w:val="004F45C4"/>
    <w:rsid w:val="004F5DBC"/>
    <w:rsid w:val="00566273"/>
    <w:rsid w:val="005761B7"/>
    <w:rsid w:val="00586530"/>
    <w:rsid w:val="00587B08"/>
    <w:rsid w:val="0059759A"/>
    <w:rsid w:val="005D4827"/>
    <w:rsid w:val="005F1D50"/>
    <w:rsid w:val="0065282C"/>
    <w:rsid w:val="00666717"/>
    <w:rsid w:val="0068276F"/>
    <w:rsid w:val="0068348C"/>
    <w:rsid w:val="006F02EE"/>
    <w:rsid w:val="006F15A2"/>
    <w:rsid w:val="007412D6"/>
    <w:rsid w:val="00761F05"/>
    <w:rsid w:val="00770EA5"/>
    <w:rsid w:val="00834FC3"/>
    <w:rsid w:val="00853204"/>
    <w:rsid w:val="008660BC"/>
    <w:rsid w:val="008A15C2"/>
    <w:rsid w:val="008A4E19"/>
    <w:rsid w:val="008C3860"/>
    <w:rsid w:val="008F6F8E"/>
    <w:rsid w:val="00900626"/>
    <w:rsid w:val="00910B54"/>
    <w:rsid w:val="009503C0"/>
    <w:rsid w:val="00951D64"/>
    <w:rsid w:val="00981EC1"/>
    <w:rsid w:val="00990305"/>
    <w:rsid w:val="009C5AC3"/>
    <w:rsid w:val="00A22B7A"/>
    <w:rsid w:val="00A30117"/>
    <w:rsid w:val="00A700F4"/>
    <w:rsid w:val="00A7265A"/>
    <w:rsid w:val="00A779BC"/>
    <w:rsid w:val="00A92149"/>
    <w:rsid w:val="00AC30BB"/>
    <w:rsid w:val="00AC3679"/>
    <w:rsid w:val="00AD6438"/>
    <w:rsid w:val="00AF0443"/>
    <w:rsid w:val="00B41012"/>
    <w:rsid w:val="00BE3FA1"/>
    <w:rsid w:val="00C4125B"/>
    <w:rsid w:val="00C52B74"/>
    <w:rsid w:val="00C66C60"/>
    <w:rsid w:val="00CF3FE6"/>
    <w:rsid w:val="00D23B5E"/>
    <w:rsid w:val="00D579F2"/>
    <w:rsid w:val="00D66566"/>
    <w:rsid w:val="00DD2CFA"/>
    <w:rsid w:val="00DE543B"/>
    <w:rsid w:val="00DF5158"/>
    <w:rsid w:val="00E0404E"/>
    <w:rsid w:val="00E207F9"/>
    <w:rsid w:val="00E60A3B"/>
    <w:rsid w:val="00E73F9C"/>
    <w:rsid w:val="00EC21B8"/>
    <w:rsid w:val="00EC6D8A"/>
    <w:rsid w:val="00F01165"/>
    <w:rsid w:val="00F85AE6"/>
    <w:rsid w:val="00FD05E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607</Words>
  <Characters>3373</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12</cp:revision>
  <dcterms:created xsi:type="dcterms:W3CDTF">2022-09-21T15:18:00Z</dcterms:created>
  <dcterms:modified xsi:type="dcterms:W3CDTF">2024-02-08T09:46:00Z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487876d84e6c9a258a0d14145a3d0a1e31db60460b32c5b4e031ef58d68b2f91</vt:lpwstr>
  </property>
</Properties>
</file>